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993" w:rsidRPr="001D4B7A" w:rsidRDefault="00385F2C" w:rsidP="001D4B7A">
      <w:pPr>
        <w:spacing w:after="0" w:line="240" w:lineRule="auto"/>
        <w:rPr>
          <w:rFonts w:ascii="Verdana" w:hAnsi="Verdana" w:cs="Times New Roman"/>
          <w:b/>
          <w:sz w:val="20"/>
          <w:szCs w:val="20"/>
        </w:rPr>
      </w:pPr>
      <w:bookmarkStart w:id="0" w:name="_GoBack"/>
      <w:r w:rsidRPr="001D4B7A">
        <w:rPr>
          <w:rFonts w:ascii="Verdana" w:hAnsi="Verdana" w:cs="Times New Roman"/>
          <w:b/>
          <w:sz w:val="20"/>
          <w:szCs w:val="20"/>
        </w:rPr>
        <w:t>REPORT DATI CENTRO DIAGNOSI PRENATALE LORETO ANNO 2018</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Il 2018 ha vis</w:t>
      </w:r>
      <w:r w:rsidR="00CF4DCE" w:rsidRPr="001D4B7A">
        <w:rPr>
          <w:rFonts w:ascii="Verdana" w:hAnsi="Verdana" w:cs="Times New Roman"/>
          <w:sz w:val="20"/>
          <w:szCs w:val="20"/>
        </w:rPr>
        <w:t>t</w:t>
      </w:r>
      <w:r w:rsidRPr="001D4B7A">
        <w:rPr>
          <w:rFonts w:ascii="Verdana" w:hAnsi="Verdana" w:cs="Times New Roman"/>
          <w:sz w:val="20"/>
          <w:szCs w:val="20"/>
        </w:rPr>
        <w:t>o un costante incremento delle attività del C</w:t>
      </w:r>
      <w:r w:rsidR="00CF4DCE" w:rsidRPr="001D4B7A">
        <w:rPr>
          <w:rFonts w:ascii="Verdana" w:hAnsi="Verdana" w:cs="Times New Roman"/>
          <w:sz w:val="20"/>
          <w:szCs w:val="20"/>
        </w:rPr>
        <w:t>entro</w:t>
      </w:r>
      <w:r w:rsidRPr="001D4B7A">
        <w:rPr>
          <w:rFonts w:ascii="Verdana" w:hAnsi="Verdana" w:cs="Times New Roman"/>
          <w:sz w:val="20"/>
          <w:szCs w:val="20"/>
        </w:rPr>
        <w:t xml:space="preserve"> caratterizzato da un </w:t>
      </w:r>
      <w:r w:rsidRPr="001D4B7A">
        <w:rPr>
          <w:rFonts w:ascii="Verdana" w:hAnsi="Verdana" w:cs="Times New Roman"/>
          <w:b/>
          <w:sz w:val="20"/>
          <w:szCs w:val="20"/>
        </w:rPr>
        <w:t>totale di 11492</w:t>
      </w:r>
      <w:r w:rsidRPr="001D4B7A">
        <w:rPr>
          <w:rFonts w:ascii="Verdana" w:hAnsi="Verdana" w:cs="Times New Roman"/>
          <w:sz w:val="20"/>
          <w:szCs w:val="20"/>
        </w:rPr>
        <w:t xml:space="preserve"> </w:t>
      </w:r>
      <w:r w:rsidRPr="001D4B7A">
        <w:rPr>
          <w:rFonts w:ascii="Verdana" w:hAnsi="Verdana" w:cs="Times New Roman"/>
          <w:b/>
          <w:sz w:val="20"/>
          <w:szCs w:val="20"/>
        </w:rPr>
        <w:t>prestazioni</w:t>
      </w:r>
      <w:r w:rsidRPr="001D4B7A">
        <w:rPr>
          <w:rFonts w:ascii="Verdana" w:hAnsi="Verdana" w:cs="Times New Roman"/>
          <w:sz w:val="20"/>
          <w:szCs w:val="20"/>
        </w:rPr>
        <w:t xml:space="preserve"> con un incremento nel 2018 del </w:t>
      </w:r>
      <w:r w:rsidRPr="001D4B7A">
        <w:rPr>
          <w:rFonts w:ascii="Verdana" w:hAnsi="Verdana" w:cs="Times New Roman"/>
          <w:b/>
          <w:sz w:val="20"/>
          <w:szCs w:val="20"/>
        </w:rPr>
        <w:t>49%</w:t>
      </w:r>
      <w:r w:rsidRPr="001D4B7A">
        <w:rPr>
          <w:rFonts w:ascii="Verdana" w:hAnsi="Verdana" w:cs="Times New Roman"/>
          <w:sz w:val="20"/>
          <w:szCs w:val="20"/>
        </w:rPr>
        <w:t xml:space="preserve"> rispetto all’anno precedente (</w:t>
      </w:r>
      <w:r w:rsidRPr="001D4B7A">
        <w:rPr>
          <w:rFonts w:ascii="Verdana" w:hAnsi="Verdana" w:cs="Times New Roman"/>
          <w:b/>
          <w:sz w:val="20"/>
          <w:szCs w:val="20"/>
        </w:rPr>
        <w:t>6873 vs 4619</w:t>
      </w:r>
      <w:r w:rsidRPr="001D4B7A">
        <w:rPr>
          <w:rFonts w:ascii="Verdana" w:hAnsi="Verdana" w:cs="Times New Roman"/>
          <w:sz w:val="20"/>
          <w:szCs w:val="20"/>
        </w:rPr>
        <w:t xml:space="preserve">) ed un afflusso di </w:t>
      </w:r>
      <w:r w:rsidRPr="001D4B7A">
        <w:rPr>
          <w:rFonts w:ascii="Verdana" w:hAnsi="Verdana" w:cs="Times New Roman"/>
          <w:b/>
          <w:sz w:val="20"/>
          <w:szCs w:val="20"/>
        </w:rPr>
        <w:t>1026 nuove pazienti</w:t>
      </w:r>
      <w:r w:rsidRPr="001D4B7A">
        <w:rPr>
          <w:rFonts w:ascii="Verdana" w:hAnsi="Verdana" w:cs="Times New Roman"/>
          <w:sz w:val="20"/>
          <w:szCs w:val="20"/>
        </w:rPr>
        <w:t xml:space="preserve"> che si sono rivolte al centro per sospetti di patologia fetale o per rischi da assunzione di farmaci, per familiarità, esposizione a radiazioni o per malattie infettive contratte in gravidanza ed a rischio per danni al prodotto del concepimento con un incremento del </w:t>
      </w:r>
      <w:r w:rsidRPr="001D4B7A">
        <w:rPr>
          <w:rFonts w:ascii="Verdana" w:hAnsi="Verdana" w:cs="Times New Roman"/>
          <w:b/>
          <w:sz w:val="20"/>
          <w:szCs w:val="20"/>
        </w:rPr>
        <w:t>+58%</w:t>
      </w:r>
      <w:r w:rsidRPr="001D4B7A">
        <w:rPr>
          <w:rFonts w:ascii="Verdana" w:hAnsi="Verdana" w:cs="Times New Roman"/>
          <w:sz w:val="20"/>
          <w:szCs w:val="20"/>
        </w:rPr>
        <w:t xml:space="preserve"> rispetto al 2017.</w:t>
      </w:r>
    </w:p>
    <w:p w:rsidR="00B35993" w:rsidRPr="001D4B7A" w:rsidRDefault="00B35993" w:rsidP="001D4B7A">
      <w:pPr>
        <w:spacing w:after="0" w:line="240" w:lineRule="auto"/>
        <w:jc w:val="both"/>
        <w:rPr>
          <w:rFonts w:ascii="Verdana" w:hAnsi="Verdana" w:cs="Times New Roman"/>
          <w:b/>
          <w:sz w:val="20"/>
          <w:szCs w:val="20"/>
        </w:rPr>
      </w:pPr>
      <w:r w:rsidRPr="001D4B7A">
        <w:rPr>
          <w:rFonts w:ascii="Verdana" w:hAnsi="Verdana" w:cs="Times New Roman"/>
          <w:sz w:val="20"/>
          <w:szCs w:val="20"/>
        </w:rPr>
        <w:t xml:space="preserve">I </w:t>
      </w:r>
      <w:r w:rsidRPr="001D4B7A">
        <w:rPr>
          <w:rFonts w:ascii="Verdana" w:hAnsi="Verdana" w:cs="Times New Roman"/>
          <w:b/>
          <w:sz w:val="20"/>
          <w:szCs w:val="20"/>
        </w:rPr>
        <w:t>tempi di attesa medi</w:t>
      </w:r>
      <w:r w:rsidRPr="001D4B7A">
        <w:rPr>
          <w:rFonts w:ascii="Verdana" w:hAnsi="Verdana" w:cs="Times New Roman"/>
          <w:sz w:val="20"/>
          <w:szCs w:val="20"/>
        </w:rPr>
        <w:t xml:space="preserve"> per l’erogazione della prestazioni sono di </w:t>
      </w:r>
      <w:r w:rsidRPr="001D4B7A">
        <w:rPr>
          <w:rFonts w:ascii="Verdana" w:hAnsi="Verdana" w:cs="Times New Roman"/>
          <w:b/>
          <w:sz w:val="20"/>
          <w:szCs w:val="20"/>
        </w:rPr>
        <w:t>4.3 gg.</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Tale dato è stato calcolato nel periodo 01/05/2018 – 31/12/2018 per le prestazioni che non prevedevano una tempistica programmata come i </w:t>
      </w:r>
      <w:proofErr w:type="spellStart"/>
      <w:r w:rsidRPr="001D4B7A">
        <w:rPr>
          <w:rFonts w:ascii="Verdana" w:hAnsi="Verdana" w:cs="Times New Roman"/>
          <w:sz w:val="20"/>
          <w:szCs w:val="20"/>
        </w:rPr>
        <w:t>follow</w:t>
      </w:r>
      <w:proofErr w:type="spellEnd"/>
      <w:r w:rsidRPr="001D4B7A">
        <w:rPr>
          <w:rFonts w:ascii="Verdana" w:hAnsi="Verdana" w:cs="Times New Roman"/>
          <w:sz w:val="20"/>
          <w:szCs w:val="20"/>
        </w:rPr>
        <w:t xml:space="preserve"> up e gli esami invasivi o le consulenze specialistiche.</w:t>
      </w:r>
    </w:p>
    <w:p w:rsidR="00B35993" w:rsidRPr="001D4B7A" w:rsidRDefault="00B35993" w:rsidP="001D4B7A">
      <w:pPr>
        <w:spacing w:after="0" w:line="240" w:lineRule="auto"/>
        <w:jc w:val="both"/>
        <w:rPr>
          <w:rFonts w:ascii="Verdana" w:hAnsi="Verdana" w:cs="Times New Roman"/>
          <w:b/>
          <w:sz w:val="20"/>
          <w:szCs w:val="20"/>
        </w:rPr>
      </w:pPr>
      <w:r w:rsidRPr="001D4B7A">
        <w:rPr>
          <w:rFonts w:ascii="Verdana" w:hAnsi="Verdana" w:cs="Times New Roman"/>
          <w:sz w:val="20"/>
          <w:szCs w:val="20"/>
        </w:rPr>
        <w:t>Il numero di richieste valutate è stato complessivamente di 428 richieste di cui 308 “</w:t>
      </w:r>
      <w:r w:rsidRPr="001D4B7A">
        <w:rPr>
          <w:rFonts w:ascii="Verdana" w:hAnsi="Verdana" w:cs="Times New Roman"/>
          <w:b/>
          <w:sz w:val="20"/>
          <w:szCs w:val="20"/>
        </w:rPr>
        <w:t>urgenti”</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A tutte le pz viene offerto un colloquio consultivo ad ogni accesso anche in corso di </w:t>
      </w:r>
      <w:proofErr w:type="spellStart"/>
      <w:r w:rsidRPr="001D4B7A">
        <w:rPr>
          <w:rFonts w:ascii="Verdana" w:hAnsi="Verdana" w:cs="Times New Roman"/>
          <w:sz w:val="20"/>
          <w:szCs w:val="20"/>
        </w:rPr>
        <w:t>follow</w:t>
      </w:r>
      <w:proofErr w:type="spellEnd"/>
      <w:r w:rsidRPr="001D4B7A">
        <w:rPr>
          <w:rFonts w:ascii="Verdana" w:hAnsi="Verdana" w:cs="Times New Roman"/>
          <w:sz w:val="20"/>
          <w:szCs w:val="20"/>
        </w:rPr>
        <w:t xml:space="preserve"> up per permettere a loro ed al partner di poter seguire l’evoluzione della situazione coinvolgente il proprio bambino. A questa tipologia di colloqui si aggiunge una grossa attività di colloqui cosiddetti prenatali informativi in merito alle procedure diagnostiche (invasive e non)  e di screening che sono a disposizione delle coppie specie per la ricerca della patologie cromosomiche e genetiche, nonché per le malformazioni strutturali.</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Va detto che tale attività impegna in modo considerevole (richiedendo in media dai 20’ ai 30’ a colloquio a seconda della tipologia fino anche ad un ora per i counselling in caso di malformazioni fetali) tutto il personale del centro compreso quello ostetrico senza il quale non sarebbe possibile svolgere tale attività che tutti noi riteniamo di primaria importanza e che l’utenza dimostra di apprezzare particolarmente.</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Nell’anno in corso i </w:t>
      </w:r>
      <w:r w:rsidRPr="001D4B7A">
        <w:rPr>
          <w:rFonts w:ascii="Verdana" w:hAnsi="Verdana" w:cs="Times New Roman"/>
          <w:b/>
          <w:sz w:val="20"/>
          <w:szCs w:val="20"/>
        </w:rPr>
        <w:t>colloqui</w:t>
      </w:r>
      <w:r w:rsidRPr="001D4B7A">
        <w:rPr>
          <w:rFonts w:ascii="Verdana" w:hAnsi="Verdana" w:cs="Times New Roman"/>
          <w:sz w:val="20"/>
          <w:szCs w:val="20"/>
        </w:rPr>
        <w:t xml:space="preserve">, in totale, sono stati </w:t>
      </w:r>
      <w:r w:rsidRPr="001D4B7A">
        <w:rPr>
          <w:rFonts w:ascii="Verdana" w:hAnsi="Verdana" w:cs="Times New Roman"/>
          <w:b/>
          <w:sz w:val="20"/>
          <w:szCs w:val="20"/>
        </w:rPr>
        <w:t>1903</w:t>
      </w:r>
      <w:r w:rsidRPr="001D4B7A">
        <w:rPr>
          <w:rFonts w:ascii="Verdana" w:hAnsi="Verdana" w:cs="Times New Roman"/>
          <w:sz w:val="20"/>
          <w:szCs w:val="20"/>
        </w:rPr>
        <w:t xml:space="preserve"> con un incremento del </w:t>
      </w:r>
      <w:r w:rsidRPr="001D4B7A">
        <w:rPr>
          <w:rFonts w:ascii="Verdana" w:hAnsi="Verdana" w:cs="Times New Roman"/>
          <w:b/>
          <w:sz w:val="20"/>
          <w:szCs w:val="20"/>
        </w:rPr>
        <w:t>+ 71%</w:t>
      </w:r>
      <w:r w:rsidRPr="001D4B7A">
        <w:rPr>
          <w:rFonts w:ascii="Verdana" w:hAnsi="Verdana" w:cs="Times New Roman"/>
          <w:sz w:val="20"/>
          <w:szCs w:val="20"/>
        </w:rPr>
        <w:t xml:space="preserve"> rispetto all’anno precedente.</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La valutazione della provenienza delle pazienti che affluiscono al centro ha mostrato una sempre migliore </w:t>
      </w:r>
      <w:proofErr w:type="spellStart"/>
      <w:r w:rsidRPr="001D4B7A">
        <w:rPr>
          <w:rFonts w:ascii="Verdana" w:hAnsi="Verdana" w:cs="Times New Roman"/>
          <w:sz w:val="20"/>
          <w:szCs w:val="20"/>
        </w:rPr>
        <w:t>omogenizzazione</w:t>
      </w:r>
      <w:proofErr w:type="spellEnd"/>
      <w:r w:rsidRPr="001D4B7A">
        <w:rPr>
          <w:rFonts w:ascii="Verdana" w:hAnsi="Verdana" w:cs="Times New Roman"/>
          <w:sz w:val="20"/>
          <w:szCs w:val="20"/>
        </w:rPr>
        <w:t xml:space="preserve"> nell’ambito regionale con un maggiore coinvolgimento delle aree più estreme della regione (AV1 e AV2), in particolare va sottolineato l’incremento del </w:t>
      </w:r>
      <w:r w:rsidRPr="001D4B7A">
        <w:rPr>
          <w:rFonts w:ascii="Verdana" w:hAnsi="Verdana" w:cs="Times New Roman"/>
          <w:b/>
          <w:sz w:val="20"/>
          <w:szCs w:val="20"/>
        </w:rPr>
        <w:t>+ 6 % del flusso dall’AV1</w:t>
      </w:r>
      <w:r w:rsidRPr="001D4B7A">
        <w:rPr>
          <w:rFonts w:ascii="Verdana" w:hAnsi="Verdana" w:cs="Times New Roman"/>
          <w:sz w:val="20"/>
          <w:szCs w:val="20"/>
        </w:rPr>
        <w:t>, zona che storicamente tendeva a gravitare verso l’Emilia Romagna.</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Oltre alla popolazione marchigiana si è assistito ad un aumento della scelta del C</w:t>
      </w:r>
      <w:r w:rsidR="00CF4DCE" w:rsidRPr="001D4B7A">
        <w:rPr>
          <w:rFonts w:ascii="Verdana" w:hAnsi="Verdana" w:cs="Times New Roman"/>
          <w:sz w:val="20"/>
          <w:szCs w:val="20"/>
        </w:rPr>
        <w:t>entro</w:t>
      </w:r>
      <w:r w:rsidRPr="001D4B7A">
        <w:rPr>
          <w:rFonts w:ascii="Verdana" w:hAnsi="Verdana" w:cs="Times New Roman"/>
          <w:sz w:val="20"/>
          <w:szCs w:val="20"/>
        </w:rPr>
        <w:t xml:space="preserve"> da parte di </w:t>
      </w:r>
      <w:r w:rsidRPr="001D4B7A">
        <w:rPr>
          <w:rFonts w:ascii="Verdana" w:hAnsi="Verdana" w:cs="Times New Roman"/>
          <w:b/>
          <w:sz w:val="20"/>
          <w:szCs w:val="20"/>
        </w:rPr>
        <w:t>pazienti provenienti da Fuori Regione</w:t>
      </w:r>
      <w:r w:rsidRPr="001D4B7A">
        <w:rPr>
          <w:rFonts w:ascii="Verdana" w:hAnsi="Verdana" w:cs="Times New Roman"/>
          <w:sz w:val="20"/>
          <w:szCs w:val="20"/>
        </w:rPr>
        <w:t xml:space="preserve">. Quest’anno infatti, </w:t>
      </w:r>
      <w:r w:rsidRPr="001D4B7A">
        <w:rPr>
          <w:rFonts w:ascii="Verdana" w:hAnsi="Verdana" w:cs="Times New Roman"/>
          <w:b/>
          <w:sz w:val="20"/>
          <w:szCs w:val="20"/>
        </w:rPr>
        <w:t>104 pazienti</w:t>
      </w:r>
      <w:r w:rsidRPr="001D4B7A">
        <w:rPr>
          <w:rFonts w:ascii="Verdana" w:hAnsi="Verdana" w:cs="Times New Roman"/>
          <w:sz w:val="20"/>
          <w:szCs w:val="20"/>
        </w:rPr>
        <w:t xml:space="preserve"> hanno scelto di venire nella nostra regione per ottenere i servizi offerti dal Centro con un incremento del + </w:t>
      </w:r>
      <w:r w:rsidRPr="001D4B7A">
        <w:rPr>
          <w:rFonts w:ascii="Verdana" w:hAnsi="Verdana" w:cs="Times New Roman"/>
          <w:b/>
          <w:sz w:val="20"/>
          <w:szCs w:val="20"/>
        </w:rPr>
        <w:t>68%</w:t>
      </w:r>
      <w:r w:rsidRPr="001D4B7A">
        <w:rPr>
          <w:rFonts w:ascii="Verdana" w:hAnsi="Verdana" w:cs="Times New Roman"/>
          <w:sz w:val="20"/>
          <w:szCs w:val="20"/>
        </w:rPr>
        <w:t xml:space="preserve"> rispetto al 2018 e che si è tradotto in </w:t>
      </w:r>
      <w:r w:rsidRPr="001D4B7A">
        <w:rPr>
          <w:rFonts w:ascii="Verdana" w:hAnsi="Verdana" w:cs="Times New Roman"/>
          <w:b/>
          <w:sz w:val="20"/>
          <w:szCs w:val="20"/>
        </w:rPr>
        <w:t>377 prestazioni</w:t>
      </w:r>
      <w:r w:rsidRPr="001D4B7A">
        <w:rPr>
          <w:rFonts w:ascii="Verdana" w:hAnsi="Verdana" w:cs="Times New Roman"/>
          <w:sz w:val="20"/>
          <w:szCs w:val="20"/>
        </w:rPr>
        <w:t xml:space="preserve"> offerte con un </w:t>
      </w:r>
      <w:r w:rsidRPr="001D4B7A">
        <w:rPr>
          <w:rFonts w:ascii="Verdana" w:hAnsi="Verdana" w:cs="Times New Roman"/>
          <w:b/>
          <w:sz w:val="20"/>
          <w:szCs w:val="20"/>
        </w:rPr>
        <w:t>+ 52%</w:t>
      </w:r>
      <w:r w:rsidRPr="001D4B7A">
        <w:rPr>
          <w:rFonts w:ascii="Verdana" w:hAnsi="Verdana" w:cs="Times New Roman"/>
          <w:sz w:val="20"/>
          <w:szCs w:val="20"/>
        </w:rPr>
        <w:t xml:space="preserve"> rispetto al 2017.</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Globalmente sono state effettuate </w:t>
      </w:r>
      <w:r w:rsidRPr="001D4B7A">
        <w:rPr>
          <w:rFonts w:ascii="Verdana" w:hAnsi="Verdana" w:cs="Times New Roman"/>
          <w:b/>
          <w:sz w:val="20"/>
          <w:szCs w:val="20"/>
        </w:rPr>
        <w:t>6873 prestazioni</w:t>
      </w:r>
      <w:r w:rsidRPr="001D4B7A">
        <w:rPr>
          <w:rFonts w:ascii="Verdana" w:hAnsi="Verdana" w:cs="Times New Roman"/>
          <w:sz w:val="20"/>
          <w:szCs w:val="20"/>
        </w:rPr>
        <w:t xml:space="preserve"> nel corso dell’anno con un incremento percentuale del </w:t>
      </w:r>
      <w:r w:rsidRPr="001D4B7A">
        <w:rPr>
          <w:rFonts w:ascii="Verdana" w:hAnsi="Verdana" w:cs="Times New Roman"/>
          <w:b/>
          <w:sz w:val="20"/>
          <w:szCs w:val="20"/>
        </w:rPr>
        <w:t>+ 49%</w:t>
      </w:r>
      <w:r w:rsidRPr="001D4B7A">
        <w:rPr>
          <w:rFonts w:ascii="Verdana" w:hAnsi="Verdana" w:cs="Times New Roman"/>
          <w:sz w:val="20"/>
          <w:szCs w:val="20"/>
        </w:rPr>
        <w:t xml:space="preserve"> rispetto all’anno precedente.</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In particolare va segnalato come nel 2018 siano state attivati i percorsi di consulenza specialistica in Genetica Medica Prenatale, Neurochirurgia pediatrica, Neuropsichiatria infantile, Neonatologia con oltre </w:t>
      </w:r>
      <w:r w:rsidRPr="001D4B7A">
        <w:rPr>
          <w:rFonts w:ascii="Verdana" w:hAnsi="Verdana" w:cs="Times New Roman"/>
          <w:b/>
          <w:sz w:val="20"/>
          <w:szCs w:val="20"/>
        </w:rPr>
        <w:t>70 consulenze da parte della genetista</w:t>
      </w:r>
      <w:r w:rsidRPr="001D4B7A">
        <w:rPr>
          <w:rFonts w:ascii="Verdana" w:hAnsi="Verdana" w:cs="Times New Roman"/>
          <w:sz w:val="20"/>
          <w:szCs w:val="20"/>
        </w:rPr>
        <w:t>.</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Gli altri percorsi di consulenza già attivi hanno presentato un incremento di richieste che va dal </w:t>
      </w:r>
      <w:r w:rsidRPr="001D4B7A">
        <w:rPr>
          <w:rFonts w:ascii="Verdana" w:hAnsi="Verdana" w:cs="Times New Roman"/>
          <w:b/>
          <w:sz w:val="20"/>
          <w:szCs w:val="20"/>
        </w:rPr>
        <w:t>+ 38%</w:t>
      </w:r>
      <w:r w:rsidRPr="001D4B7A">
        <w:rPr>
          <w:rFonts w:ascii="Verdana" w:hAnsi="Verdana" w:cs="Times New Roman"/>
          <w:sz w:val="20"/>
          <w:szCs w:val="20"/>
        </w:rPr>
        <w:t xml:space="preserve"> per le consulenze di patologia Clinica per le malattie infettive in gravidanza, ad un </w:t>
      </w:r>
      <w:r w:rsidRPr="001D4B7A">
        <w:rPr>
          <w:rFonts w:ascii="Verdana" w:hAnsi="Verdana" w:cs="Times New Roman"/>
          <w:b/>
          <w:sz w:val="20"/>
          <w:szCs w:val="20"/>
        </w:rPr>
        <w:t>+ 197 %</w:t>
      </w:r>
      <w:r w:rsidRPr="001D4B7A">
        <w:rPr>
          <w:rFonts w:ascii="Verdana" w:hAnsi="Verdana" w:cs="Times New Roman"/>
          <w:sz w:val="20"/>
          <w:szCs w:val="20"/>
        </w:rPr>
        <w:t xml:space="preserve">  per le consulenze di cardiologia e cardiochirurgia pediatrica fino al </w:t>
      </w:r>
      <w:r w:rsidRPr="001D4B7A">
        <w:rPr>
          <w:rFonts w:ascii="Verdana" w:hAnsi="Verdana" w:cs="Times New Roman"/>
          <w:b/>
          <w:sz w:val="20"/>
          <w:szCs w:val="20"/>
        </w:rPr>
        <w:t xml:space="preserve">+ 328% </w:t>
      </w:r>
      <w:r w:rsidRPr="001D4B7A">
        <w:rPr>
          <w:rFonts w:ascii="Verdana" w:hAnsi="Verdana" w:cs="Times New Roman"/>
          <w:sz w:val="20"/>
          <w:szCs w:val="20"/>
        </w:rPr>
        <w:t>per le consulenze chirurgiche pediatriche.</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Al fine di ottimizzare il percorso verso il centro di III livello dei piccoli pazienti che hanno necessitato delle cure predisposte dai consulenti si è avviata una fattiva collaborazione con la Neonatologia dell’Ospedale Salesi e la Clinica Ostetrica della stessa struttura.</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L’attività svolta dai Sanitari del C</w:t>
      </w:r>
      <w:r w:rsidR="00CF4DCE" w:rsidRPr="001D4B7A">
        <w:rPr>
          <w:rFonts w:ascii="Verdana" w:hAnsi="Verdana" w:cs="Times New Roman"/>
          <w:sz w:val="20"/>
          <w:szCs w:val="20"/>
        </w:rPr>
        <w:t>entro</w:t>
      </w:r>
      <w:r w:rsidRPr="001D4B7A">
        <w:rPr>
          <w:rFonts w:ascii="Verdana" w:hAnsi="Verdana" w:cs="Times New Roman"/>
          <w:sz w:val="20"/>
          <w:szCs w:val="20"/>
        </w:rPr>
        <w:t xml:space="preserve"> ha portato, nel 2018, ad individuare </w:t>
      </w:r>
      <w:r w:rsidRPr="001D4B7A">
        <w:rPr>
          <w:rFonts w:ascii="Verdana" w:hAnsi="Verdana" w:cs="Times New Roman"/>
          <w:b/>
          <w:sz w:val="20"/>
          <w:szCs w:val="20"/>
        </w:rPr>
        <w:t>96 malformazioni cosiddette maggior</w:t>
      </w:r>
      <w:r w:rsidRPr="001D4B7A">
        <w:rPr>
          <w:rFonts w:ascii="Verdana" w:hAnsi="Verdana" w:cs="Times New Roman"/>
          <w:sz w:val="20"/>
          <w:szCs w:val="20"/>
        </w:rPr>
        <w:t xml:space="preserve">i e grande impatto clinico con un incremento del </w:t>
      </w:r>
      <w:r w:rsidRPr="001D4B7A">
        <w:rPr>
          <w:rFonts w:ascii="Verdana" w:hAnsi="Verdana" w:cs="Times New Roman"/>
          <w:b/>
          <w:sz w:val="20"/>
          <w:szCs w:val="20"/>
        </w:rPr>
        <w:t>+20%</w:t>
      </w:r>
      <w:r w:rsidRPr="001D4B7A">
        <w:rPr>
          <w:rFonts w:ascii="Verdana" w:hAnsi="Verdana" w:cs="Times New Roman"/>
          <w:sz w:val="20"/>
          <w:szCs w:val="20"/>
        </w:rPr>
        <w:t xml:space="preserve"> rispetto al 2017, </w:t>
      </w:r>
      <w:r w:rsidRPr="001D4B7A">
        <w:rPr>
          <w:rFonts w:ascii="Verdana" w:hAnsi="Verdana" w:cs="Times New Roman"/>
          <w:b/>
          <w:sz w:val="20"/>
          <w:szCs w:val="20"/>
        </w:rPr>
        <w:t>172 malformazioni minori</w:t>
      </w:r>
      <w:r w:rsidRPr="001D4B7A">
        <w:rPr>
          <w:rFonts w:ascii="Verdana" w:hAnsi="Verdana" w:cs="Times New Roman"/>
          <w:sz w:val="20"/>
          <w:szCs w:val="20"/>
        </w:rPr>
        <w:t xml:space="preserve"> con un </w:t>
      </w:r>
      <w:r w:rsidRPr="001D4B7A">
        <w:rPr>
          <w:rFonts w:ascii="Verdana" w:hAnsi="Verdana" w:cs="Times New Roman"/>
          <w:b/>
          <w:sz w:val="20"/>
          <w:szCs w:val="20"/>
        </w:rPr>
        <w:t>+ 76%</w:t>
      </w:r>
      <w:r w:rsidRPr="001D4B7A">
        <w:rPr>
          <w:rFonts w:ascii="Verdana" w:hAnsi="Verdana" w:cs="Times New Roman"/>
          <w:sz w:val="20"/>
          <w:szCs w:val="20"/>
        </w:rPr>
        <w:t xml:space="preserve"> e </w:t>
      </w:r>
      <w:r w:rsidRPr="001D4B7A">
        <w:rPr>
          <w:rFonts w:ascii="Verdana" w:hAnsi="Verdana" w:cs="Times New Roman"/>
          <w:b/>
          <w:sz w:val="20"/>
          <w:szCs w:val="20"/>
        </w:rPr>
        <w:t>32 tra patologie cromosomiche genetiche</w:t>
      </w:r>
      <w:r w:rsidRPr="001D4B7A">
        <w:rPr>
          <w:rFonts w:ascii="Verdana" w:hAnsi="Verdana" w:cs="Times New Roman"/>
          <w:sz w:val="20"/>
          <w:szCs w:val="20"/>
        </w:rPr>
        <w:t xml:space="preserve"> con un </w:t>
      </w:r>
      <w:r w:rsidRPr="001D4B7A">
        <w:rPr>
          <w:rFonts w:ascii="Verdana" w:hAnsi="Verdana" w:cs="Times New Roman"/>
          <w:b/>
          <w:sz w:val="20"/>
          <w:szCs w:val="20"/>
        </w:rPr>
        <w:t>+33%</w:t>
      </w:r>
      <w:r w:rsidRPr="001D4B7A">
        <w:rPr>
          <w:rFonts w:ascii="Verdana" w:hAnsi="Verdana" w:cs="Times New Roman"/>
          <w:sz w:val="20"/>
          <w:szCs w:val="20"/>
        </w:rPr>
        <w:t xml:space="preserve"> rispetto  allo scorso anno, per </w:t>
      </w:r>
      <w:r w:rsidRPr="001D4B7A">
        <w:rPr>
          <w:rFonts w:ascii="Verdana" w:hAnsi="Verdana" w:cs="Times New Roman"/>
          <w:b/>
          <w:sz w:val="20"/>
          <w:szCs w:val="20"/>
        </w:rPr>
        <w:t>un totale di 298 patologie</w:t>
      </w:r>
      <w:r w:rsidRPr="001D4B7A">
        <w:rPr>
          <w:rFonts w:ascii="Verdana" w:hAnsi="Verdana" w:cs="Times New Roman"/>
          <w:sz w:val="20"/>
          <w:szCs w:val="20"/>
        </w:rPr>
        <w:t xml:space="preserve"> intercettate </w:t>
      </w:r>
      <w:r w:rsidRPr="001D4B7A">
        <w:rPr>
          <w:rFonts w:ascii="Verdana" w:hAnsi="Verdana" w:cs="Times New Roman"/>
          <w:b/>
          <w:sz w:val="20"/>
          <w:szCs w:val="20"/>
        </w:rPr>
        <w:t>(+ 49%)</w:t>
      </w:r>
      <w:r w:rsidRPr="001D4B7A">
        <w:rPr>
          <w:rFonts w:ascii="Verdana" w:hAnsi="Verdana" w:cs="Times New Roman"/>
          <w:sz w:val="20"/>
          <w:szCs w:val="20"/>
        </w:rPr>
        <w:t xml:space="preserve"> su un atteso di 500/600 patologie.</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In campo malformativo è assodato come le principali malformazioni fetali siano a carico del cuore e l’impegno e la maggiore attenzione posta in questo settore viene avvalorata dalle 922 ecocardiografie fetali eseguite con un incremento di tale tipologia di esame pari al +</w:t>
      </w:r>
      <w:r w:rsidRPr="001D4B7A">
        <w:rPr>
          <w:rFonts w:ascii="Verdana" w:hAnsi="Verdana" w:cs="Times New Roman"/>
          <w:b/>
          <w:sz w:val="20"/>
          <w:szCs w:val="20"/>
        </w:rPr>
        <w:t>82%</w:t>
      </w:r>
      <w:r w:rsidRPr="001D4B7A">
        <w:rPr>
          <w:rFonts w:ascii="Verdana" w:hAnsi="Verdana" w:cs="Times New Roman"/>
          <w:sz w:val="20"/>
          <w:szCs w:val="20"/>
        </w:rPr>
        <w:t xml:space="preserve"> rispetto al 2017, il tutto </w:t>
      </w:r>
      <w:r w:rsidRPr="001D4B7A">
        <w:rPr>
          <w:rFonts w:ascii="Verdana" w:hAnsi="Verdana" w:cs="Times New Roman"/>
          <w:b/>
          <w:sz w:val="20"/>
          <w:szCs w:val="20"/>
        </w:rPr>
        <w:t>supportato dalle 116 Consulenze cardiologiche e cardiochirurgiche</w:t>
      </w:r>
      <w:r w:rsidRPr="001D4B7A">
        <w:rPr>
          <w:rFonts w:ascii="Verdana" w:hAnsi="Verdana" w:cs="Times New Roman"/>
          <w:sz w:val="20"/>
          <w:szCs w:val="20"/>
        </w:rPr>
        <w:t xml:space="preserve"> pediatriche effettuate.</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lastRenderedPageBreak/>
        <w:t>In attesa dell’applicazione dei Nuovi LEA che modificheranno i criteri di accesso alle indagini invasive prenatali (Amniocentesi e Villocentesi) anche per il 2018 si è continuato ad accettare come indicazione l’età materna superiore a 35 anni.</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La diagnostica invasiva, in seguito alla comparsa ed alla ormai consolidata affidabilità per le trisomie principali e delle patologie dei cromosomi sessuali del test di screening mediante ricerca del DNA fetale su sangue materno, ha subito negli ultimi anni un drastico ridimensionamento numerico. Questo ha comportato alla centralizzazione degli esami invasivi anche al fine di mantenere un training ed uno standard di affidabilità degli operatori.</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L’analisi dei dati in merito ha mostrato un sostanziale equilibrio tra esami eseguiti nel  2017 e nel 2018. </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Questa indicazione ha pesato per 172 su 280 esami invasivi nel 2017 e per 174 su 285 esami invasivi  per il 2018.</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Considerando che il numero di prelievi effettuati l’indicazione età materna pesa ancora oltre il 50%.</w:t>
      </w:r>
    </w:p>
    <w:p w:rsidR="00B35993" w:rsidRPr="001D4B7A" w:rsidRDefault="00B35993" w:rsidP="001D4B7A">
      <w:pPr>
        <w:spacing w:after="0" w:line="240" w:lineRule="auto"/>
        <w:jc w:val="both"/>
        <w:rPr>
          <w:rFonts w:ascii="Verdana" w:hAnsi="Verdana" w:cs="Times New Roman"/>
          <w:b/>
          <w:sz w:val="20"/>
          <w:szCs w:val="20"/>
        </w:rPr>
      </w:pPr>
      <w:r w:rsidRPr="001D4B7A">
        <w:rPr>
          <w:rFonts w:ascii="Verdana" w:hAnsi="Verdana" w:cs="Times New Roman"/>
          <w:b/>
          <w:sz w:val="20"/>
          <w:szCs w:val="20"/>
        </w:rPr>
        <w:t>L’introduzione di metodiche di screening del primo trimestre come previsto nei LEA e la conseguente esclusione del solo criterio età materna, comporterà una drastica riduzione di tale numero di esami con notevoli risparmi in termini economici e di rischi di perdite fetali.</w:t>
      </w:r>
    </w:p>
    <w:p w:rsidR="00B35993" w:rsidRPr="001D4B7A" w:rsidRDefault="00B35993" w:rsidP="001D4B7A">
      <w:pPr>
        <w:spacing w:after="0" w:line="240" w:lineRule="auto"/>
        <w:jc w:val="both"/>
        <w:rPr>
          <w:rFonts w:ascii="Verdana" w:hAnsi="Verdana" w:cs="Times New Roman"/>
          <w:b/>
          <w:sz w:val="20"/>
          <w:szCs w:val="20"/>
        </w:rPr>
      </w:pPr>
      <w:r w:rsidRPr="001D4B7A">
        <w:rPr>
          <w:rFonts w:ascii="Verdana" w:hAnsi="Verdana" w:cs="Times New Roman"/>
          <w:b/>
          <w:sz w:val="20"/>
          <w:szCs w:val="20"/>
        </w:rPr>
        <w:t>Gli esami invasivi verranno ad essere effettuati solo in casi ben selezionati e legati al riscontro di anomalie strutturali fetali, sospetti di patologie genetiche dopo consulenza Genetica Medica, in caso di sospetta infezione materna in gravidanza.</w:t>
      </w:r>
    </w:p>
    <w:p w:rsidR="00B35993" w:rsidRPr="001D4B7A" w:rsidRDefault="00B35993" w:rsidP="001D4B7A">
      <w:pPr>
        <w:spacing w:after="0" w:line="240" w:lineRule="auto"/>
        <w:jc w:val="both"/>
        <w:rPr>
          <w:rFonts w:ascii="Verdana" w:hAnsi="Verdana" w:cs="Times New Roman"/>
          <w:b/>
          <w:sz w:val="20"/>
          <w:szCs w:val="20"/>
        </w:rPr>
      </w:pPr>
      <w:r w:rsidRPr="001D4B7A">
        <w:rPr>
          <w:rFonts w:ascii="Verdana" w:hAnsi="Verdana" w:cs="Times New Roman"/>
          <w:b/>
          <w:sz w:val="20"/>
          <w:szCs w:val="20"/>
        </w:rPr>
        <w:t>Questo dato viene avvalorato dalla lettura delle percentuali di tipologia di esami effettuati presso il C</w:t>
      </w:r>
      <w:r w:rsidR="00CF4DCE" w:rsidRPr="001D4B7A">
        <w:rPr>
          <w:rFonts w:ascii="Verdana" w:hAnsi="Verdana" w:cs="Times New Roman"/>
          <w:b/>
          <w:sz w:val="20"/>
          <w:szCs w:val="20"/>
        </w:rPr>
        <w:t>entro</w:t>
      </w:r>
      <w:r w:rsidRPr="001D4B7A">
        <w:rPr>
          <w:rFonts w:ascii="Verdana" w:hAnsi="Verdana" w:cs="Times New Roman"/>
          <w:b/>
          <w:sz w:val="20"/>
          <w:szCs w:val="20"/>
        </w:rPr>
        <w:t>. Infatti nel 2018 si assistito ad un aumento percentuale delle amniocentesi sulle villocentesi.</w:t>
      </w:r>
    </w:p>
    <w:p w:rsidR="00B35993" w:rsidRPr="001D4B7A" w:rsidRDefault="00B35993" w:rsidP="001D4B7A">
      <w:pPr>
        <w:spacing w:after="0" w:line="240" w:lineRule="auto"/>
        <w:jc w:val="both"/>
        <w:rPr>
          <w:rFonts w:ascii="Verdana" w:hAnsi="Verdana" w:cs="Times New Roman"/>
          <w:b/>
          <w:sz w:val="20"/>
          <w:szCs w:val="20"/>
        </w:rPr>
      </w:pPr>
      <w:r w:rsidRPr="001D4B7A">
        <w:rPr>
          <w:rFonts w:ascii="Verdana" w:hAnsi="Verdana" w:cs="Times New Roman"/>
          <w:b/>
          <w:sz w:val="20"/>
          <w:szCs w:val="20"/>
        </w:rPr>
        <w:t>Ciò si è verificato in seguito all’aumento delle diagnosi di malformazioni effettuate che comportano uno studio del cariotipo fetale mediante amniocentesi mentre lo studio del cariotipo eseguito solo per età materna avviene di solito mediante villocentesi.</w:t>
      </w:r>
    </w:p>
    <w:p w:rsidR="00B35993" w:rsidRPr="001D4B7A" w:rsidRDefault="00B35993" w:rsidP="001D4B7A">
      <w:pPr>
        <w:spacing w:after="0" w:line="240" w:lineRule="auto"/>
        <w:jc w:val="both"/>
        <w:rPr>
          <w:rFonts w:ascii="Verdana" w:hAnsi="Verdana" w:cs="Times New Roman"/>
          <w:b/>
          <w:sz w:val="20"/>
          <w:szCs w:val="20"/>
        </w:rPr>
      </w:pPr>
      <w:r w:rsidRPr="001D4B7A">
        <w:rPr>
          <w:rFonts w:ascii="Verdana" w:hAnsi="Verdana" w:cs="Times New Roman"/>
          <w:b/>
          <w:sz w:val="20"/>
          <w:szCs w:val="20"/>
        </w:rPr>
        <w:t>Le perdite fetali da esami invasivi sono state di 1 feto sia nel 2017 che 2018 con percentuale dello 0.35 % come previsto dalla letteratura per centri di riferimento.</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Il centro ha effettuato, come in passato, una attività di formazione con 3 incontri.</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 xml:space="preserve">Uno sulla problematica dello screening delle </w:t>
      </w:r>
      <w:proofErr w:type="spellStart"/>
      <w:r w:rsidRPr="001D4B7A">
        <w:rPr>
          <w:rFonts w:ascii="Verdana" w:hAnsi="Verdana" w:cs="Times New Roman"/>
          <w:sz w:val="20"/>
          <w:szCs w:val="20"/>
        </w:rPr>
        <w:t>aneuplodie</w:t>
      </w:r>
      <w:proofErr w:type="spellEnd"/>
      <w:r w:rsidRPr="001D4B7A">
        <w:rPr>
          <w:rFonts w:ascii="Verdana" w:hAnsi="Verdana" w:cs="Times New Roman"/>
          <w:sz w:val="20"/>
          <w:szCs w:val="20"/>
        </w:rPr>
        <w:t xml:space="preserve"> mediante DNA fetale su sangue materno</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E due sul tema il feto come paziente.</w:t>
      </w:r>
    </w:p>
    <w:p w:rsidR="00B35993" w:rsidRPr="001D4B7A" w:rsidRDefault="00B35993" w:rsidP="001D4B7A">
      <w:pPr>
        <w:spacing w:after="0" w:line="240" w:lineRule="auto"/>
        <w:jc w:val="both"/>
        <w:rPr>
          <w:rFonts w:ascii="Verdana" w:hAnsi="Verdana" w:cs="Times New Roman"/>
          <w:sz w:val="20"/>
          <w:szCs w:val="20"/>
        </w:rPr>
      </w:pPr>
      <w:r w:rsidRPr="001D4B7A">
        <w:rPr>
          <w:rFonts w:ascii="Verdana" w:hAnsi="Verdana" w:cs="Times New Roman"/>
          <w:sz w:val="20"/>
          <w:szCs w:val="20"/>
        </w:rPr>
        <w:t>Inoltre l’aula didattica del centro è stata utilizza dal personale del 118 e del Laboratorio Analisi per formazione e riunioni.</w:t>
      </w:r>
    </w:p>
    <w:bookmarkEnd w:id="0"/>
    <w:p w:rsidR="00B35993" w:rsidRPr="005A732D" w:rsidRDefault="00B35993" w:rsidP="00385F2C">
      <w:pPr>
        <w:jc w:val="both"/>
        <w:rPr>
          <w:rFonts w:ascii="Times New Roman" w:hAnsi="Times New Roman" w:cs="Times New Roman"/>
          <w:sz w:val="24"/>
          <w:szCs w:val="24"/>
        </w:rPr>
      </w:pPr>
    </w:p>
    <w:p w:rsidR="00B35993" w:rsidRPr="005A732D" w:rsidRDefault="00B35993" w:rsidP="00385F2C">
      <w:pPr>
        <w:jc w:val="both"/>
        <w:rPr>
          <w:rFonts w:ascii="Times New Roman" w:hAnsi="Times New Roman" w:cs="Times New Roman"/>
          <w:sz w:val="24"/>
          <w:szCs w:val="24"/>
        </w:rPr>
      </w:pPr>
    </w:p>
    <w:p w:rsidR="00B35993" w:rsidRPr="001D3AF0" w:rsidRDefault="00B35993" w:rsidP="00385F2C">
      <w:pPr>
        <w:jc w:val="both"/>
        <w:rPr>
          <w:rFonts w:ascii="Times New Roman" w:hAnsi="Times New Roman" w:cs="Times New Roman"/>
          <w:sz w:val="24"/>
          <w:szCs w:val="24"/>
        </w:rPr>
      </w:pPr>
    </w:p>
    <w:p w:rsidR="00B35993" w:rsidRDefault="00B35993" w:rsidP="00C03697">
      <w:pPr>
        <w:jc w:val="center"/>
        <w:rPr>
          <w:b/>
          <w:sz w:val="96"/>
          <w:szCs w:val="96"/>
        </w:rPr>
      </w:pPr>
    </w:p>
    <w:p w:rsidR="00B35993" w:rsidRDefault="00B35993">
      <w:pPr>
        <w:rPr>
          <w:b/>
          <w:sz w:val="96"/>
          <w:szCs w:val="96"/>
        </w:rPr>
      </w:pPr>
      <w:r>
        <w:rPr>
          <w:b/>
          <w:sz w:val="96"/>
          <w:szCs w:val="96"/>
        </w:rPr>
        <w:br w:type="page"/>
      </w:r>
    </w:p>
    <w:p w:rsidR="00E46ECB" w:rsidRPr="00C03697" w:rsidRDefault="007622AB" w:rsidP="00C03697">
      <w:pPr>
        <w:jc w:val="center"/>
        <w:rPr>
          <w:b/>
          <w:sz w:val="48"/>
          <w:szCs w:val="48"/>
        </w:rPr>
      </w:pPr>
      <w:r w:rsidRPr="001E2478">
        <w:rPr>
          <w:b/>
          <w:sz w:val="96"/>
          <w:szCs w:val="96"/>
        </w:rPr>
        <w:lastRenderedPageBreak/>
        <w:t>I RISULTATI</w:t>
      </w:r>
    </w:p>
    <w:p w:rsidR="001E2478" w:rsidRDefault="00FC7D42" w:rsidP="007622AB">
      <w:pPr>
        <w:jc w:val="center"/>
        <w:rPr>
          <w:b/>
          <w:sz w:val="48"/>
          <w:szCs w:val="48"/>
        </w:rPr>
      </w:pPr>
      <w:r>
        <w:rPr>
          <w:b/>
          <w:sz w:val="48"/>
          <w:szCs w:val="48"/>
        </w:rPr>
        <w:t>2017-2018</w:t>
      </w:r>
    </w:p>
    <w:p w:rsidR="001E2478" w:rsidRDefault="004D1A3B" w:rsidP="007622AB">
      <w:pPr>
        <w:jc w:val="center"/>
        <w:rPr>
          <w:b/>
          <w:sz w:val="48"/>
          <w:szCs w:val="48"/>
        </w:rPr>
      </w:pPr>
      <w:r>
        <w:rPr>
          <w:b/>
          <w:sz w:val="48"/>
          <w:szCs w:val="48"/>
        </w:rPr>
        <w:t>A confronto</w:t>
      </w:r>
    </w:p>
    <w:p w:rsidR="001D3AF0" w:rsidRDefault="00630EE9" w:rsidP="007622AB">
      <w:pPr>
        <w:jc w:val="center"/>
        <w:rPr>
          <w:b/>
          <w:sz w:val="48"/>
          <w:szCs w:val="48"/>
        </w:rPr>
      </w:pPr>
      <w:r>
        <w:rPr>
          <w:b/>
          <w:sz w:val="48"/>
          <w:szCs w:val="48"/>
        </w:rPr>
        <w:t>Ad oggi sono giunte all’osservazione del CUR</w:t>
      </w:r>
    </w:p>
    <w:p w:rsidR="001D3AF0" w:rsidRDefault="00187602" w:rsidP="007622AB">
      <w:pPr>
        <w:jc w:val="center"/>
        <w:rPr>
          <w:b/>
          <w:sz w:val="48"/>
          <w:szCs w:val="48"/>
        </w:rPr>
      </w:pPr>
      <w:r>
        <w:rPr>
          <w:b/>
          <w:sz w:val="48"/>
          <w:szCs w:val="48"/>
          <w:highlight w:val="yellow"/>
        </w:rPr>
        <w:t>16</w:t>
      </w:r>
      <w:r w:rsidR="004D1A3B" w:rsidRPr="004D1A3B">
        <w:rPr>
          <w:b/>
          <w:sz w:val="48"/>
          <w:szCs w:val="48"/>
          <w:highlight w:val="yellow"/>
        </w:rPr>
        <w:t>75</w:t>
      </w:r>
      <w:r w:rsidR="00611D24">
        <w:rPr>
          <w:b/>
          <w:sz w:val="48"/>
          <w:szCs w:val="48"/>
        </w:rPr>
        <w:t xml:space="preserve"> pazienti</w:t>
      </w:r>
    </w:p>
    <w:p w:rsidR="007672D9" w:rsidRPr="00435D62" w:rsidRDefault="007672D9" w:rsidP="007622AB">
      <w:pPr>
        <w:jc w:val="center"/>
        <w:rPr>
          <w:b/>
          <w:sz w:val="36"/>
          <w:szCs w:val="36"/>
        </w:rPr>
      </w:pPr>
      <w:r w:rsidRPr="00435D62">
        <w:rPr>
          <w:b/>
          <w:sz w:val="36"/>
          <w:szCs w:val="36"/>
        </w:rPr>
        <w:t>(649 nel 2017 – 10</w:t>
      </w:r>
      <w:r w:rsidR="004D1A3B" w:rsidRPr="00435D62">
        <w:rPr>
          <w:b/>
          <w:sz w:val="36"/>
          <w:szCs w:val="36"/>
        </w:rPr>
        <w:t>26</w:t>
      </w:r>
      <w:r w:rsidRPr="00435D62">
        <w:rPr>
          <w:b/>
          <w:sz w:val="36"/>
          <w:szCs w:val="36"/>
        </w:rPr>
        <w:t xml:space="preserve"> nel 2018)</w:t>
      </w:r>
    </w:p>
    <w:p w:rsidR="00D34064" w:rsidRDefault="00D34064" w:rsidP="007622AB">
      <w:pPr>
        <w:jc w:val="center"/>
        <w:rPr>
          <w:b/>
          <w:sz w:val="48"/>
          <w:szCs w:val="48"/>
        </w:rPr>
      </w:pPr>
    </w:p>
    <w:p w:rsidR="001E2478" w:rsidRDefault="001A15FC" w:rsidP="007622AB">
      <w:pPr>
        <w:jc w:val="center"/>
        <w:rPr>
          <w:b/>
          <w:sz w:val="48"/>
          <w:szCs w:val="48"/>
        </w:rPr>
      </w:pPr>
      <w:r>
        <w:rPr>
          <w:noProof/>
          <w:lang w:eastAsia="it-IT"/>
        </w:rPr>
        <w:drawing>
          <wp:inline distT="0" distB="0" distL="0" distR="0" wp14:anchorId="369458FD" wp14:editId="0D484310">
            <wp:extent cx="5153025" cy="2819400"/>
            <wp:effectExtent l="0" t="0" r="9525" b="19050"/>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E2478" w:rsidRPr="001E2478" w:rsidRDefault="00187602" w:rsidP="001E2478">
      <w:pPr>
        <w:jc w:val="center"/>
        <w:rPr>
          <w:b/>
          <w:sz w:val="96"/>
          <w:szCs w:val="96"/>
        </w:rPr>
      </w:pPr>
      <w:r>
        <w:rPr>
          <w:b/>
          <w:sz w:val="96"/>
          <w:szCs w:val="96"/>
        </w:rPr>
        <w:t>+5</w:t>
      </w:r>
      <w:r w:rsidR="001A15FC">
        <w:rPr>
          <w:b/>
          <w:sz w:val="96"/>
          <w:szCs w:val="96"/>
        </w:rPr>
        <w:t>8</w:t>
      </w:r>
      <w:r w:rsidR="001E2478" w:rsidRPr="001E2478">
        <w:rPr>
          <w:b/>
          <w:sz w:val="96"/>
          <w:szCs w:val="96"/>
        </w:rPr>
        <w:t>%</w:t>
      </w:r>
    </w:p>
    <w:p w:rsidR="00630EE9" w:rsidRDefault="001E2478" w:rsidP="00D34064">
      <w:pPr>
        <w:jc w:val="center"/>
        <w:rPr>
          <w:b/>
          <w:sz w:val="48"/>
          <w:szCs w:val="48"/>
        </w:rPr>
      </w:pPr>
      <w:r>
        <w:rPr>
          <w:b/>
          <w:sz w:val="48"/>
          <w:szCs w:val="48"/>
        </w:rPr>
        <w:br w:type="page"/>
      </w:r>
      <w:r w:rsidR="00611D24">
        <w:rPr>
          <w:b/>
          <w:sz w:val="48"/>
          <w:szCs w:val="48"/>
        </w:rPr>
        <w:lastRenderedPageBreak/>
        <w:t xml:space="preserve">Di cui </w:t>
      </w:r>
      <w:r w:rsidR="004D1A3B">
        <w:rPr>
          <w:b/>
          <w:sz w:val="48"/>
          <w:szCs w:val="48"/>
          <w:highlight w:val="yellow"/>
        </w:rPr>
        <w:t>16</w:t>
      </w:r>
      <w:r w:rsidR="00611D24" w:rsidRPr="00D34064">
        <w:rPr>
          <w:b/>
          <w:sz w:val="48"/>
          <w:szCs w:val="48"/>
          <w:highlight w:val="yellow"/>
        </w:rPr>
        <w:t>6</w:t>
      </w:r>
      <w:r w:rsidR="00630EE9">
        <w:rPr>
          <w:b/>
          <w:sz w:val="48"/>
          <w:szCs w:val="48"/>
        </w:rPr>
        <w:t xml:space="preserve"> </w:t>
      </w:r>
      <w:r w:rsidR="00D34064">
        <w:rPr>
          <w:b/>
          <w:sz w:val="48"/>
          <w:szCs w:val="48"/>
        </w:rPr>
        <w:t>PAZIENTI DA FUORI REGIONE</w:t>
      </w:r>
    </w:p>
    <w:p w:rsidR="00D34064" w:rsidRDefault="004D1A3B" w:rsidP="007622AB">
      <w:pPr>
        <w:jc w:val="center"/>
        <w:rPr>
          <w:b/>
          <w:sz w:val="48"/>
          <w:szCs w:val="48"/>
        </w:rPr>
      </w:pPr>
      <w:r>
        <w:rPr>
          <w:b/>
          <w:sz w:val="48"/>
          <w:szCs w:val="48"/>
        </w:rPr>
        <w:t>(62 nel 2017 – 10</w:t>
      </w:r>
      <w:r w:rsidR="00630EE9">
        <w:rPr>
          <w:b/>
          <w:sz w:val="48"/>
          <w:szCs w:val="48"/>
        </w:rPr>
        <w:t>4 nel 2018)</w:t>
      </w:r>
    </w:p>
    <w:p w:rsidR="00611D24" w:rsidRDefault="001A15FC" w:rsidP="007622AB">
      <w:pPr>
        <w:jc w:val="center"/>
        <w:rPr>
          <w:b/>
          <w:sz w:val="48"/>
          <w:szCs w:val="48"/>
        </w:rPr>
      </w:pPr>
      <w:r>
        <w:rPr>
          <w:noProof/>
          <w:lang w:eastAsia="it-IT"/>
        </w:rPr>
        <w:drawing>
          <wp:inline distT="0" distB="0" distL="0" distR="0" wp14:anchorId="2F81A087" wp14:editId="3E485CD4">
            <wp:extent cx="4752975" cy="2743200"/>
            <wp:effectExtent l="0" t="0" r="9525" b="19050"/>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34064" w:rsidRPr="00D34064" w:rsidRDefault="001A15FC" w:rsidP="007622AB">
      <w:pPr>
        <w:jc w:val="center"/>
        <w:rPr>
          <w:b/>
          <w:sz w:val="96"/>
          <w:szCs w:val="96"/>
        </w:rPr>
      </w:pPr>
      <w:r>
        <w:rPr>
          <w:b/>
          <w:sz w:val="96"/>
          <w:szCs w:val="96"/>
        </w:rPr>
        <w:t>+68</w:t>
      </w:r>
      <w:r w:rsidR="00D34064" w:rsidRPr="00D34064">
        <w:rPr>
          <w:b/>
          <w:sz w:val="96"/>
          <w:szCs w:val="96"/>
        </w:rPr>
        <w:t>%</w:t>
      </w:r>
    </w:p>
    <w:p w:rsidR="00611D24" w:rsidRDefault="001A15FC" w:rsidP="007622AB">
      <w:pPr>
        <w:jc w:val="center"/>
        <w:rPr>
          <w:b/>
          <w:sz w:val="48"/>
          <w:szCs w:val="48"/>
        </w:rPr>
      </w:pPr>
      <w:r>
        <w:rPr>
          <w:noProof/>
          <w:lang w:eastAsia="it-IT"/>
        </w:rPr>
        <w:drawing>
          <wp:inline distT="0" distB="0" distL="0" distR="0" wp14:anchorId="17735906" wp14:editId="70DF78EC">
            <wp:extent cx="4572000" cy="2743200"/>
            <wp:effectExtent l="0" t="0" r="19050" b="1905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4064" w:rsidRPr="00D34064" w:rsidRDefault="001A15FC" w:rsidP="007622AB">
      <w:pPr>
        <w:jc w:val="center"/>
        <w:rPr>
          <w:b/>
          <w:sz w:val="96"/>
          <w:szCs w:val="96"/>
        </w:rPr>
      </w:pPr>
      <w:r>
        <w:rPr>
          <w:b/>
          <w:sz w:val="96"/>
          <w:szCs w:val="96"/>
        </w:rPr>
        <w:t>+52</w:t>
      </w:r>
      <w:r w:rsidR="00D34064" w:rsidRPr="00D34064">
        <w:rPr>
          <w:b/>
          <w:sz w:val="96"/>
          <w:szCs w:val="96"/>
        </w:rPr>
        <w:t>%</w:t>
      </w:r>
    </w:p>
    <w:p w:rsidR="00466BE1" w:rsidRDefault="00466BE1">
      <w:pPr>
        <w:rPr>
          <w:b/>
          <w:sz w:val="48"/>
          <w:szCs w:val="48"/>
        </w:rPr>
      </w:pPr>
    </w:p>
    <w:p w:rsidR="00630EE9" w:rsidRDefault="00630EE9" w:rsidP="00611D24">
      <w:pPr>
        <w:rPr>
          <w:b/>
          <w:sz w:val="48"/>
          <w:szCs w:val="48"/>
        </w:rPr>
      </w:pPr>
      <w:r>
        <w:rPr>
          <w:b/>
          <w:sz w:val="48"/>
          <w:szCs w:val="48"/>
        </w:rPr>
        <w:t xml:space="preserve">La distribuzione della provenienza </w:t>
      </w:r>
      <w:r w:rsidR="00EA412D">
        <w:rPr>
          <w:b/>
          <w:sz w:val="48"/>
          <w:szCs w:val="48"/>
        </w:rPr>
        <w:t xml:space="preserve">delle pazienti </w:t>
      </w:r>
      <w:r>
        <w:rPr>
          <w:b/>
          <w:sz w:val="48"/>
          <w:szCs w:val="48"/>
        </w:rPr>
        <w:t xml:space="preserve">nell’ambito territoriale delle marche </w:t>
      </w:r>
    </w:p>
    <w:p w:rsidR="009D3C25" w:rsidRDefault="009D3C25" w:rsidP="007622AB">
      <w:pPr>
        <w:jc w:val="center"/>
        <w:rPr>
          <w:b/>
          <w:sz w:val="48"/>
          <w:szCs w:val="48"/>
        </w:rPr>
      </w:pPr>
    </w:p>
    <w:p w:rsidR="009D3C25" w:rsidRDefault="009D3C25" w:rsidP="007622AB">
      <w:pPr>
        <w:jc w:val="center"/>
        <w:rPr>
          <w:b/>
          <w:sz w:val="48"/>
          <w:szCs w:val="48"/>
        </w:rPr>
      </w:pPr>
    </w:p>
    <w:p w:rsidR="00630EE9" w:rsidRDefault="00466BE1" w:rsidP="007622AB">
      <w:pPr>
        <w:jc w:val="center"/>
        <w:rPr>
          <w:b/>
          <w:sz w:val="48"/>
          <w:szCs w:val="48"/>
        </w:rPr>
      </w:pPr>
      <w:r>
        <w:rPr>
          <w:noProof/>
          <w:lang w:eastAsia="it-IT"/>
        </w:rPr>
        <w:drawing>
          <wp:inline distT="0" distB="0" distL="0" distR="0" wp14:anchorId="2AE46C86" wp14:editId="3BF65F37">
            <wp:extent cx="3800475" cy="2276475"/>
            <wp:effectExtent l="0" t="0" r="9525" b="9525"/>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3C25" w:rsidRDefault="009D3C25" w:rsidP="007622AB">
      <w:pPr>
        <w:jc w:val="center"/>
        <w:rPr>
          <w:b/>
          <w:sz w:val="48"/>
          <w:szCs w:val="48"/>
        </w:rPr>
      </w:pPr>
    </w:p>
    <w:p w:rsidR="00611D24" w:rsidRDefault="001A15FC" w:rsidP="007622AB">
      <w:pPr>
        <w:jc w:val="center"/>
        <w:rPr>
          <w:b/>
          <w:sz w:val="48"/>
          <w:szCs w:val="48"/>
        </w:rPr>
      </w:pPr>
      <w:r>
        <w:rPr>
          <w:noProof/>
          <w:lang w:eastAsia="it-IT"/>
        </w:rPr>
        <w:drawing>
          <wp:inline distT="0" distB="0" distL="0" distR="0" wp14:anchorId="152A6424" wp14:editId="29DC6D2B">
            <wp:extent cx="3800475" cy="2371725"/>
            <wp:effectExtent l="0" t="0" r="9525" b="9525"/>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0EE9" w:rsidRDefault="00630EE9" w:rsidP="007622AB">
      <w:pPr>
        <w:jc w:val="center"/>
        <w:rPr>
          <w:b/>
          <w:sz w:val="48"/>
          <w:szCs w:val="48"/>
        </w:rPr>
      </w:pPr>
    </w:p>
    <w:p w:rsidR="00EA412D" w:rsidRDefault="00EA412D">
      <w:pPr>
        <w:rPr>
          <w:b/>
          <w:sz w:val="48"/>
          <w:szCs w:val="48"/>
        </w:rPr>
      </w:pPr>
    </w:p>
    <w:p w:rsidR="00EA412D" w:rsidRDefault="00EA412D" w:rsidP="00EA412D">
      <w:pPr>
        <w:jc w:val="center"/>
        <w:rPr>
          <w:b/>
          <w:sz w:val="48"/>
          <w:szCs w:val="48"/>
        </w:rPr>
      </w:pPr>
      <w:r>
        <w:rPr>
          <w:b/>
          <w:sz w:val="48"/>
          <w:szCs w:val="48"/>
        </w:rPr>
        <w:t>La distribuzione delle pazienti per etnia</w:t>
      </w:r>
    </w:p>
    <w:p w:rsidR="00EA412D" w:rsidRDefault="00EA412D" w:rsidP="00EA412D">
      <w:pPr>
        <w:jc w:val="center"/>
        <w:rPr>
          <w:b/>
          <w:sz w:val="48"/>
          <w:szCs w:val="48"/>
        </w:rPr>
      </w:pPr>
      <w:r>
        <w:rPr>
          <w:b/>
          <w:sz w:val="48"/>
          <w:szCs w:val="48"/>
        </w:rPr>
        <w:t>Italiane vs Straniere</w:t>
      </w:r>
    </w:p>
    <w:p w:rsidR="004B6C57" w:rsidRDefault="004B6C57">
      <w:pPr>
        <w:rPr>
          <w:b/>
          <w:sz w:val="48"/>
          <w:szCs w:val="48"/>
        </w:rPr>
      </w:pPr>
    </w:p>
    <w:p w:rsidR="00EA412D" w:rsidRDefault="00830B58" w:rsidP="00EA412D">
      <w:pPr>
        <w:jc w:val="center"/>
        <w:rPr>
          <w:b/>
          <w:sz w:val="48"/>
          <w:szCs w:val="48"/>
        </w:rPr>
      </w:pPr>
      <w:r>
        <w:rPr>
          <w:noProof/>
          <w:lang w:eastAsia="it-IT"/>
        </w:rPr>
        <w:drawing>
          <wp:inline distT="0" distB="0" distL="0" distR="0" wp14:anchorId="6D0F681A" wp14:editId="031999F2">
            <wp:extent cx="4733925" cy="2495550"/>
            <wp:effectExtent l="0" t="0" r="9525" b="19050"/>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6C57" w:rsidRPr="00EA412D" w:rsidRDefault="004B6C57" w:rsidP="00EA412D">
      <w:pPr>
        <w:jc w:val="center"/>
        <w:rPr>
          <w:b/>
          <w:sz w:val="48"/>
          <w:szCs w:val="48"/>
        </w:rPr>
      </w:pPr>
    </w:p>
    <w:p w:rsidR="00435D62" w:rsidRDefault="001A15FC" w:rsidP="007622AB">
      <w:pPr>
        <w:jc w:val="center"/>
        <w:rPr>
          <w:b/>
          <w:sz w:val="48"/>
          <w:szCs w:val="48"/>
        </w:rPr>
      </w:pPr>
      <w:r>
        <w:rPr>
          <w:noProof/>
          <w:lang w:eastAsia="it-IT"/>
        </w:rPr>
        <w:drawing>
          <wp:inline distT="0" distB="0" distL="0" distR="0" wp14:anchorId="3C95FCD0" wp14:editId="547E8464">
            <wp:extent cx="4657725" cy="2419350"/>
            <wp:effectExtent l="0" t="0" r="9525" b="19050"/>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5D62" w:rsidRDefault="00435D62">
      <w:pPr>
        <w:rPr>
          <w:b/>
          <w:sz w:val="48"/>
          <w:szCs w:val="48"/>
        </w:rPr>
      </w:pPr>
      <w:r>
        <w:rPr>
          <w:b/>
          <w:sz w:val="48"/>
          <w:szCs w:val="48"/>
        </w:rPr>
        <w:br w:type="page"/>
      </w:r>
    </w:p>
    <w:p w:rsidR="00435D62" w:rsidRPr="00435D62" w:rsidRDefault="00435D62" w:rsidP="00435D62">
      <w:pPr>
        <w:jc w:val="center"/>
        <w:rPr>
          <w:b/>
          <w:sz w:val="72"/>
          <w:szCs w:val="72"/>
        </w:rPr>
      </w:pPr>
      <w:r w:rsidRPr="00435D62">
        <w:rPr>
          <w:b/>
          <w:sz w:val="72"/>
          <w:szCs w:val="72"/>
        </w:rPr>
        <w:lastRenderedPageBreak/>
        <w:t>Tempi di attesa medi</w:t>
      </w:r>
    </w:p>
    <w:p w:rsidR="00435D62" w:rsidRPr="00435D62" w:rsidRDefault="00435D62" w:rsidP="00435D62">
      <w:pPr>
        <w:jc w:val="center"/>
        <w:rPr>
          <w:b/>
          <w:sz w:val="72"/>
          <w:szCs w:val="72"/>
        </w:rPr>
      </w:pPr>
      <w:r w:rsidRPr="00435D62">
        <w:rPr>
          <w:b/>
          <w:sz w:val="72"/>
          <w:szCs w:val="72"/>
        </w:rPr>
        <w:t>tra</w:t>
      </w:r>
    </w:p>
    <w:p w:rsidR="00435D62" w:rsidRDefault="00435D62" w:rsidP="00435D62">
      <w:pPr>
        <w:jc w:val="center"/>
        <w:rPr>
          <w:b/>
          <w:sz w:val="72"/>
          <w:szCs w:val="72"/>
        </w:rPr>
      </w:pPr>
      <w:r w:rsidRPr="00435D62">
        <w:rPr>
          <w:b/>
          <w:sz w:val="72"/>
          <w:szCs w:val="72"/>
        </w:rPr>
        <w:t>richiesta e prestazione urgente</w:t>
      </w:r>
    </w:p>
    <w:p w:rsidR="00435D62" w:rsidRDefault="00435D62" w:rsidP="00435D62">
      <w:pPr>
        <w:jc w:val="center"/>
        <w:rPr>
          <w:b/>
          <w:sz w:val="48"/>
          <w:szCs w:val="48"/>
        </w:rPr>
      </w:pPr>
      <w:r w:rsidRPr="00435D62">
        <w:rPr>
          <w:b/>
          <w:sz w:val="48"/>
          <w:szCs w:val="48"/>
        </w:rPr>
        <w:t xml:space="preserve">(periodo </w:t>
      </w:r>
      <w:r>
        <w:rPr>
          <w:b/>
          <w:sz w:val="48"/>
          <w:szCs w:val="48"/>
        </w:rPr>
        <w:t xml:space="preserve">monitorato </w:t>
      </w:r>
      <w:r w:rsidRPr="00435D62">
        <w:rPr>
          <w:b/>
          <w:sz w:val="48"/>
          <w:szCs w:val="48"/>
        </w:rPr>
        <w:t>01/05/2018 -31/12/2018)</w:t>
      </w:r>
    </w:p>
    <w:p w:rsidR="00435D62" w:rsidRDefault="00435D62" w:rsidP="00435D62">
      <w:pPr>
        <w:jc w:val="center"/>
        <w:rPr>
          <w:b/>
          <w:sz w:val="48"/>
          <w:szCs w:val="48"/>
        </w:rPr>
      </w:pPr>
    </w:p>
    <w:p w:rsidR="00435D62" w:rsidRPr="002B6417" w:rsidRDefault="00435D62" w:rsidP="00435D62">
      <w:pPr>
        <w:jc w:val="center"/>
        <w:rPr>
          <w:sz w:val="56"/>
          <w:szCs w:val="56"/>
        </w:rPr>
      </w:pPr>
      <w:r w:rsidRPr="002B6417">
        <w:rPr>
          <w:sz w:val="56"/>
          <w:szCs w:val="56"/>
        </w:rPr>
        <w:t>Richieste</w:t>
      </w:r>
    </w:p>
    <w:p w:rsidR="00435D62" w:rsidRPr="002B6417" w:rsidRDefault="00C42322" w:rsidP="00435D62">
      <w:pPr>
        <w:jc w:val="center"/>
        <w:rPr>
          <w:b/>
          <w:sz w:val="56"/>
          <w:szCs w:val="56"/>
        </w:rPr>
      </w:pPr>
      <w:r w:rsidRPr="002B6417">
        <w:rPr>
          <w:b/>
          <w:sz w:val="56"/>
          <w:szCs w:val="56"/>
        </w:rPr>
        <w:t>428</w:t>
      </w:r>
    </w:p>
    <w:p w:rsidR="00C42322" w:rsidRPr="002B6417" w:rsidRDefault="00C42322" w:rsidP="00435D62">
      <w:pPr>
        <w:jc w:val="center"/>
        <w:rPr>
          <w:sz w:val="56"/>
          <w:szCs w:val="56"/>
        </w:rPr>
      </w:pPr>
      <w:r w:rsidRPr="002B6417">
        <w:rPr>
          <w:sz w:val="56"/>
          <w:szCs w:val="56"/>
        </w:rPr>
        <w:t>Urgenti</w:t>
      </w:r>
    </w:p>
    <w:p w:rsidR="00C42322" w:rsidRPr="002B6417" w:rsidRDefault="00C42322" w:rsidP="00435D62">
      <w:pPr>
        <w:jc w:val="center"/>
        <w:rPr>
          <w:b/>
          <w:sz w:val="56"/>
          <w:szCs w:val="56"/>
        </w:rPr>
      </w:pPr>
      <w:r w:rsidRPr="002B6417">
        <w:rPr>
          <w:b/>
          <w:sz w:val="56"/>
          <w:szCs w:val="56"/>
        </w:rPr>
        <w:t>306</w:t>
      </w:r>
    </w:p>
    <w:p w:rsidR="00C42322" w:rsidRPr="002B6417" w:rsidRDefault="00C42322" w:rsidP="00435D62">
      <w:pPr>
        <w:jc w:val="center"/>
        <w:rPr>
          <w:sz w:val="56"/>
          <w:szCs w:val="56"/>
        </w:rPr>
      </w:pPr>
      <w:r w:rsidRPr="002B6417">
        <w:rPr>
          <w:sz w:val="56"/>
          <w:szCs w:val="56"/>
        </w:rPr>
        <w:t>Programmabili</w:t>
      </w:r>
    </w:p>
    <w:p w:rsidR="00C42322" w:rsidRPr="002B6417" w:rsidRDefault="00C42322" w:rsidP="00435D62">
      <w:pPr>
        <w:jc w:val="center"/>
        <w:rPr>
          <w:sz w:val="56"/>
          <w:szCs w:val="56"/>
        </w:rPr>
      </w:pPr>
      <w:r w:rsidRPr="002B6417">
        <w:rPr>
          <w:sz w:val="56"/>
          <w:szCs w:val="56"/>
        </w:rPr>
        <w:t>122</w:t>
      </w:r>
    </w:p>
    <w:p w:rsidR="00C42322" w:rsidRDefault="00C42322" w:rsidP="00435D62">
      <w:pPr>
        <w:jc w:val="center"/>
        <w:rPr>
          <w:b/>
          <w:sz w:val="72"/>
          <w:szCs w:val="72"/>
        </w:rPr>
      </w:pPr>
      <w:r>
        <w:rPr>
          <w:b/>
          <w:sz w:val="72"/>
          <w:szCs w:val="72"/>
        </w:rPr>
        <w:t>TEMPO DI ATTESA MEDIO</w:t>
      </w:r>
    </w:p>
    <w:p w:rsidR="002B6417" w:rsidRPr="00C42322" w:rsidRDefault="002B6417" w:rsidP="00435D62">
      <w:pPr>
        <w:jc w:val="center"/>
        <w:rPr>
          <w:b/>
          <w:sz w:val="72"/>
          <w:szCs w:val="72"/>
        </w:rPr>
      </w:pPr>
      <w:r>
        <w:rPr>
          <w:b/>
          <w:sz w:val="72"/>
          <w:szCs w:val="72"/>
        </w:rPr>
        <w:t>4.37 gg</w:t>
      </w:r>
    </w:p>
    <w:p w:rsidR="00435D62" w:rsidRDefault="00435D62">
      <w:r>
        <w:br w:type="page"/>
      </w:r>
    </w:p>
    <w:p w:rsidR="00652E84" w:rsidRDefault="00435D62" w:rsidP="00652E84">
      <w:pPr>
        <w:jc w:val="center"/>
      </w:pPr>
      <w:r>
        <w:rPr>
          <w:noProof/>
          <w:lang w:eastAsia="it-IT"/>
        </w:rPr>
        <w:lastRenderedPageBreak/>
        <w:drawing>
          <wp:inline distT="0" distB="0" distL="0" distR="0" wp14:anchorId="380E17E8" wp14:editId="2160FA7A">
            <wp:extent cx="5220586" cy="2307266"/>
            <wp:effectExtent l="0" t="0" r="18415" b="17145"/>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2AE7" w:rsidRDefault="00E46ECB" w:rsidP="00652E84">
      <w:pPr>
        <w:jc w:val="center"/>
      </w:pPr>
      <w:r>
        <w:rPr>
          <w:noProof/>
          <w:lang w:eastAsia="it-IT"/>
        </w:rPr>
        <w:drawing>
          <wp:inline distT="0" distB="0" distL="0" distR="0" wp14:anchorId="12BC23D2" wp14:editId="56B6DEDE">
            <wp:extent cx="6296025" cy="2390775"/>
            <wp:effectExtent l="0" t="0" r="9525" b="9525"/>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676C" w:rsidRDefault="00435D62">
      <w:r>
        <w:rPr>
          <w:noProof/>
          <w:lang w:eastAsia="it-IT"/>
        </w:rPr>
        <w:drawing>
          <wp:inline distT="0" distB="0" distL="0" distR="0" wp14:anchorId="316191B5" wp14:editId="6169E7DE">
            <wp:extent cx="6296025" cy="2705100"/>
            <wp:effectExtent l="0" t="0" r="9525" b="1905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676C" w:rsidRPr="00EB676C" w:rsidRDefault="00435D62" w:rsidP="00EB676C">
      <w:pPr>
        <w:jc w:val="center"/>
        <w:rPr>
          <w:b/>
          <w:sz w:val="96"/>
          <w:szCs w:val="96"/>
        </w:rPr>
      </w:pPr>
      <w:r>
        <w:rPr>
          <w:b/>
          <w:sz w:val="96"/>
          <w:szCs w:val="96"/>
        </w:rPr>
        <w:t>+49</w:t>
      </w:r>
      <w:r w:rsidR="00EB676C" w:rsidRPr="00EB676C">
        <w:rPr>
          <w:b/>
          <w:sz w:val="96"/>
          <w:szCs w:val="96"/>
        </w:rPr>
        <w:t>%</w:t>
      </w:r>
    </w:p>
    <w:p w:rsidR="00652E84" w:rsidRDefault="00435D62" w:rsidP="009D3C25">
      <w:pPr>
        <w:jc w:val="center"/>
      </w:pPr>
      <w:r>
        <w:rPr>
          <w:noProof/>
          <w:lang w:eastAsia="it-IT"/>
        </w:rPr>
        <w:lastRenderedPageBreak/>
        <w:drawing>
          <wp:inline distT="0" distB="0" distL="0" distR="0" wp14:anchorId="392118C0" wp14:editId="57C9B673">
            <wp:extent cx="4699591" cy="2519917"/>
            <wp:effectExtent l="0" t="0" r="25400" b="1397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2E84" w:rsidRDefault="00652E84"/>
    <w:p w:rsidR="00652E84" w:rsidRDefault="007F460A">
      <w:r>
        <w:rPr>
          <w:noProof/>
          <w:lang w:eastAsia="it-IT"/>
        </w:rPr>
        <w:drawing>
          <wp:inline distT="0" distB="0" distL="0" distR="0" wp14:anchorId="1B58E59C" wp14:editId="3C6D60DF">
            <wp:extent cx="6115050" cy="2105025"/>
            <wp:effectExtent l="0" t="0" r="19050" b="9525"/>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2AE7" w:rsidRDefault="000B2AE7"/>
    <w:p w:rsidR="00EB676C" w:rsidRDefault="002B6417">
      <w:r>
        <w:rPr>
          <w:noProof/>
          <w:lang w:eastAsia="it-IT"/>
        </w:rPr>
        <w:drawing>
          <wp:inline distT="0" distB="0" distL="0" distR="0" wp14:anchorId="5F1192AE" wp14:editId="4FEE7634">
            <wp:extent cx="6113721" cy="2392326"/>
            <wp:effectExtent l="0" t="0" r="20955" b="27305"/>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676C" w:rsidRPr="00EB676C" w:rsidRDefault="003C4D45" w:rsidP="00EB676C">
      <w:pPr>
        <w:jc w:val="center"/>
        <w:rPr>
          <w:b/>
          <w:sz w:val="96"/>
          <w:szCs w:val="96"/>
        </w:rPr>
      </w:pPr>
      <w:r>
        <w:rPr>
          <w:b/>
          <w:sz w:val="96"/>
          <w:szCs w:val="96"/>
        </w:rPr>
        <w:t>+71</w:t>
      </w:r>
      <w:r w:rsidR="00EB676C" w:rsidRPr="00EB676C">
        <w:rPr>
          <w:b/>
          <w:sz w:val="96"/>
          <w:szCs w:val="96"/>
        </w:rPr>
        <w:t>%</w:t>
      </w:r>
    </w:p>
    <w:p w:rsidR="004B6C57" w:rsidRDefault="007D45A0" w:rsidP="002A54F3">
      <w:pPr>
        <w:jc w:val="center"/>
      </w:pPr>
      <w:r>
        <w:rPr>
          <w:noProof/>
          <w:lang w:eastAsia="it-IT"/>
        </w:rPr>
        <w:lastRenderedPageBreak/>
        <w:drawing>
          <wp:inline distT="0" distB="0" distL="0" distR="0" wp14:anchorId="7F11EB1B" wp14:editId="49278B69">
            <wp:extent cx="4805916" cy="2232838"/>
            <wp:effectExtent l="0" t="0" r="13970" b="15240"/>
            <wp:docPr id="40" name="Gra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460A" w:rsidRDefault="007F460A" w:rsidP="002A54F3">
      <w:pPr>
        <w:jc w:val="center"/>
      </w:pPr>
      <w:r>
        <w:rPr>
          <w:noProof/>
          <w:lang w:eastAsia="it-IT"/>
        </w:rPr>
        <w:drawing>
          <wp:inline distT="0" distB="0" distL="0" distR="0" wp14:anchorId="2D7E8CBA" wp14:editId="1B698D99">
            <wp:extent cx="6283842" cy="2498651"/>
            <wp:effectExtent l="0" t="0" r="22225" b="1651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6C57" w:rsidRDefault="007D45A0" w:rsidP="002A54F3">
      <w:pPr>
        <w:jc w:val="center"/>
      </w:pPr>
      <w:r>
        <w:rPr>
          <w:noProof/>
          <w:lang w:eastAsia="it-IT"/>
        </w:rPr>
        <w:drawing>
          <wp:inline distT="0" distB="0" distL="0" distR="0" wp14:anchorId="1818E205" wp14:editId="55621413">
            <wp:extent cx="6251944" cy="2796363"/>
            <wp:effectExtent l="0" t="0" r="15875" b="23495"/>
            <wp:docPr id="41" name="Gra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55BC" w:rsidRPr="004955BC" w:rsidRDefault="007D45A0" w:rsidP="004955BC">
      <w:pPr>
        <w:jc w:val="center"/>
        <w:rPr>
          <w:b/>
          <w:sz w:val="96"/>
          <w:szCs w:val="96"/>
        </w:rPr>
      </w:pPr>
      <w:r>
        <w:rPr>
          <w:b/>
          <w:sz w:val="96"/>
          <w:szCs w:val="96"/>
        </w:rPr>
        <w:t>+82</w:t>
      </w:r>
      <w:r w:rsidR="004955BC" w:rsidRPr="004955BC">
        <w:rPr>
          <w:b/>
          <w:sz w:val="96"/>
          <w:szCs w:val="96"/>
        </w:rPr>
        <w:t>%</w:t>
      </w:r>
    </w:p>
    <w:p w:rsidR="005E20B7" w:rsidRDefault="003C4D45" w:rsidP="005E20B7">
      <w:pPr>
        <w:jc w:val="center"/>
      </w:pPr>
      <w:r>
        <w:rPr>
          <w:noProof/>
          <w:lang w:eastAsia="it-IT"/>
        </w:rPr>
        <w:lastRenderedPageBreak/>
        <w:drawing>
          <wp:inline distT="0" distB="0" distL="0" distR="0" wp14:anchorId="6A89C6FB" wp14:editId="165B0FD2">
            <wp:extent cx="4667693" cy="2583712"/>
            <wp:effectExtent l="0" t="0" r="19050" b="26670"/>
            <wp:docPr id="35" name="Gra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2AE7" w:rsidRDefault="007F460A" w:rsidP="005E20B7">
      <w:pPr>
        <w:jc w:val="center"/>
      </w:pPr>
      <w:r>
        <w:rPr>
          <w:noProof/>
          <w:lang w:eastAsia="it-IT"/>
        </w:rPr>
        <w:drawing>
          <wp:inline distT="0" distB="0" distL="0" distR="0" wp14:anchorId="17CD87E0" wp14:editId="0148F6E9">
            <wp:extent cx="6048375" cy="2286000"/>
            <wp:effectExtent l="0" t="0" r="9525" b="1905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20B7" w:rsidRDefault="003C4D45" w:rsidP="005E20B7">
      <w:pPr>
        <w:jc w:val="center"/>
      </w:pPr>
      <w:r>
        <w:rPr>
          <w:noProof/>
          <w:lang w:eastAsia="it-IT"/>
        </w:rPr>
        <w:drawing>
          <wp:inline distT="0" distB="0" distL="0" distR="0" wp14:anchorId="2A3494E2" wp14:editId="4AE574F7">
            <wp:extent cx="6081823" cy="2519917"/>
            <wp:effectExtent l="0" t="0" r="14605" b="13970"/>
            <wp:docPr id="36" name="Gra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25234" w:rsidRPr="007672D9" w:rsidRDefault="003C4D45" w:rsidP="005E20B7">
      <w:pPr>
        <w:jc w:val="center"/>
        <w:rPr>
          <w:b/>
          <w:sz w:val="96"/>
          <w:szCs w:val="96"/>
        </w:rPr>
      </w:pPr>
      <w:r>
        <w:rPr>
          <w:b/>
          <w:sz w:val="96"/>
          <w:szCs w:val="96"/>
        </w:rPr>
        <w:t>+ 2</w:t>
      </w:r>
      <w:r w:rsidR="007672D9" w:rsidRPr="007672D9">
        <w:rPr>
          <w:b/>
          <w:sz w:val="96"/>
          <w:szCs w:val="96"/>
        </w:rPr>
        <w:t>%</w:t>
      </w:r>
    </w:p>
    <w:p w:rsidR="007F460A" w:rsidRDefault="007F460A">
      <w:r>
        <w:rPr>
          <w:noProof/>
          <w:lang w:eastAsia="it-IT"/>
        </w:rPr>
        <w:lastRenderedPageBreak/>
        <w:drawing>
          <wp:inline distT="0" distB="0" distL="0" distR="0" wp14:anchorId="71FF333D" wp14:editId="307BAECB">
            <wp:extent cx="2819400" cy="1743075"/>
            <wp:effectExtent l="0" t="0" r="19050" b="9525"/>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36147">
        <w:t xml:space="preserve">             </w:t>
      </w:r>
      <w:r>
        <w:rPr>
          <w:noProof/>
          <w:lang w:eastAsia="it-IT"/>
        </w:rPr>
        <w:drawing>
          <wp:inline distT="0" distB="0" distL="0" distR="0" wp14:anchorId="0F18118C" wp14:editId="41C7B8FF">
            <wp:extent cx="2800350" cy="1733550"/>
            <wp:effectExtent l="0" t="0" r="19050" b="1905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A03D8" w:rsidRDefault="0011349B">
      <w:r>
        <w:rPr>
          <w:noProof/>
          <w:lang w:eastAsia="it-IT"/>
        </w:rPr>
        <w:drawing>
          <wp:inline distT="0" distB="0" distL="0" distR="0" wp14:anchorId="2CEC07F4" wp14:editId="0EB61F1B">
            <wp:extent cx="2819400" cy="1600200"/>
            <wp:effectExtent l="0" t="0" r="19050" b="1905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36147">
        <w:t xml:space="preserve">     </w:t>
      </w:r>
      <w:r w:rsidR="007D45A0">
        <w:t xml:space="preserve">   </w:t>
      </w:r>
      <w:r w:rsidR="00536147">
        <w:t xml:space="preserve">     </w:t>
      </w:r>
      <w:r w:rsidR="007D45A0">
        <w:rPr>
          <w:noProof/>
          <w:lang w:eastAsia="it-IT"/>
        </w:rPr>
        <w:drawing>
          <wp:inline distT="0" distB="0" distL="0" distR="0" wp14:anchorId="0AC7D983" wp14:editId="2C7C14FC">
            <wp:extent cx="2817628" cy="1552354"/>
            <wp:effectExtent l="0" t="0" r="20955" b="10160"/>
            <wp:docPr id="39" name="Gra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36147">
        <w:t xml:space="preserve">   </w:t>
      </w:r>
    </w:p>
    <w:p w:rsidR="00326618" w:rsidRDefault="005F24D6" w:rsidP="00326618">
      <w:pPr>
        <w:jc w:val="center"/>
      </w:pPr>
      <w:r>
        <w:rPr>
          <w:noProof/>
          <w:lang w:eastAsia="it-IT"/>
        </w:rPr>
        <w:drawing>
          <wp:inline distT="0" distB="0" distL="0" distR="0" wp14:anchorId="1F6AED76" wp14:editId="6B98F738">
            <wp:extent cx="4476750" cy="2305050"/>
            <wp:effectExtent l="0" t="0" r="19050" b="19050"/>
            <wp:docPr id="45" name="Gra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24D6" w:rsidRDefault="005F24D6" w:rsidP="00326618">
      <w:pPr>
        <w:jc w:val="center"/>
      </w:pPr>
    </w:p>
    <w:p w:rsidR="00536147" w:rsidRDefault="005F24D6" w:rsidP="00326618">
      <w:pPr>
        <w:jc w:val="center"/>
      </w:pPr>
      <w:r>
        <w:rPr>
          <w:noProof/>
          <w:lang w:eastAsia="it-IT"/>
        </w:rPr>
        <w:drawing>
          <wp:inline distT="0" distB="0" distL="0" distR="0" wp14:anchorId="49D1C29C" wp14:editId="69CAC080">
            <wp:extent cx="4514850" cy="2295525"/>
            <wp:effectExtent l="0" t="0" r="19050" b="9525"/>
            <wp:docPr id="46" name="Gra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A03D8" w:rsidRDefault="00EA03D8"/>
    <w:p w:rsidR="001E2478" w:rsidRPr="001E2478" w:rsidRDefault="001E2478" w:rsidP="001E2478">
      <w:pPr>
        <w:jc w:val="center"/>
        <w:rPr>
          <w:b/>
          <w:sz w:val="40"/>
          <w:szCs w:val="40"/>
        </w:rPr>
      </w:pPr>
      <w:r w:rsidRPr="001E2478">
        <w:rPr>
          <w:b/>
          <w:sz w:val="40"/>
          <w:szCs w:val="40"/>
        </w:rPr>
        <w:t>CONSULENZE SPECIALISTICHE</w:t>
      </w:r>
    </w:p>
    <w:tbl>
      <w:tblPr>
        <w:tblW w:w="11125" w:type="dxa"/>
        <w:tblInd w:w="55" w:type="dxa"/>
        <w:tblCellMar>
          <w:left w:w="70" w:type="dxa"/>
          <w:right w:w="70" w:type="dxa"/>
        </w:tblCellMar>
        <w:tblLook w:val="04A0" w:firstRow="1" w:lastRow="0" w:firstColumn="1" w:lastColumn="0" w:noHBand="0" w:noVBand="1"/>
      </w:tblPr>
      <w:tblGrid>
        <w:gridCol w:w="11125"/>
      </w:tblGrid>
      <w:tr w:rsidR="009D3C25" w:rsidRPr="009D3C25" w:rsidTr="001E2478">
        <w:trPr>
          <w:trHeight w:val="575"/>
        </w:trPr>
        <w:tc>
          <w:tcPr>
            <w:tcW w:w="11125" w:type="dxa"/>
            <w:tcBorders>
              <w:top w:val="nil"/>
              <w:left w:val="nil"/>
              <w:bottom w:val="nil"/>
              <w:right w:val="nil"/>
            </w:tcBorders>
            <w:shd w:val="clear" w:color="auto" w:fill="auto"/>
            <w:noWrap/>
            <w:vAlign w:val="bottom"/>
            <w:hideMark/>
          </w:tcPr>
          <w:tbl>
            <w:tblPr>
              <w:tblW w:w="9560" w:type="dxa"/>
              <w:tblCellMar>
                <w:left w:w="70" w:type="dxa"/>
                <w:right w:w="70" w:type="dxa"/>
              </w:tblCellMar>
              <w:tblLook w:val="04A0" w:firstRow="1" w:lastRow="0" w:firstColumn="1" w:lastColumn="0" w:noHBand="0" w:noVBand="1"/>
            </w:tblPr>
            <w:tblGrid>
              <w:gridCol w:w="1742"/>
              <w:gridCol w:w="1529"/>
              <w:gridCol w:w="1529"/>
              <w:gridCol w:w="1200"/>
              <w:gridCol w:w="1620"/>
              <w:gridCol w:w="980"/>
              <w:gridCol w:w="960"/>
            </w:tblGrid>
            <w:tr w:rsidR="001E2478" w:rsidRPr="001E2478" w:rsidTr="001E2478">
              <w:trPr>
                <w:trHeight w:val="525"/>
              </w:trPr>
              <w:tc>
                <w:tcPr>
                  <w:tcW w:w="4800" w:type="dxa"/>
                  <w:gridSpan w:val="3"/>
                  <w:tcBorders>
                    <w:top w:val="nil"/>
                    <w:left w:val="nil"/>
                    <w:bottom w:val="nil"/>
                    <w:right w:val="nil"/>
                  </w:tcBorders>
                  <w:shd w:val="clear" w:color="auto" w:fill="auto"/>
                  <w:noWrap/>
                  <w:vAlign w:val="bottom"/>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p>
              </w:tc>
              <w:tc>
                <w:tcPr>
                  <w:tcW w:w="1200" w:type="dxa"/>
                  <w:tcBorders>
                    <w:top w:val="nil"/>
                    <w:left w:val="nil"/>
                    <w:bottom w:val="nil"/>
                    <w:right w:val="nil"/>
                  </w:tcBorders>
                  <w:shd w:val="clear" w:color="auto" w:fill="auto"/>
                  <w:noWrap/>
                  <w:vAlign w:val="bottom"/>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p>
              </w:tc>
            </w:tr>
            <w:tr w:rsidR="001E2478" w:rsidRPr="001E2478" w:rsidTr="001E2478">
              <w:trPr>
                <w:trHeight w:val="52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b/>
                      <w:color w:val="000000"/>
                      <w:sz w:val="40"/>
                      <w:szCs w:val="40"/>
                      <w:lang w:eastAsia="it-IT"/>
                    </w:rPr>
                  </w:pPr>
                  <w:r w:rsidRPr="001E2478">
                    <w:rPr>
                      <w:rFonts w:ascii="Calibri" w:eastAsia="Times New Roman" w:hAnsi="Calibri" w:cs="Calibri"/>
                      <w:b/>
                      <w:color w:val="000000"/>
                      <w:sz w:val="40"/>
                      <w:szCs w:val="40"/>
                      <w:lang w:eastAsia="it-IT"/>
                    </w:rPr>
                    <w:t>2017</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right"/>
                    <w:rPr>
                      <w:rFonts w:ascii="Calibri" w:eastAsia="Times New Roman" w:hAnsi="Calibri" w:cs="Calibri"/>
                      <w:b/>
                      <w:color w:val="000000"/>
                      <w:sz w:val="40"/>
                      <w:szCs w:val="40"/>
                      <w:lang w:eastAsia="it-IT"/>
                    </w:rPr>
                  </w:pPr>
                  <w:r w:rsidRPr="001E2478">
                    <w:rPr>
                      <w:rFonts w:ascii="Calibri" w:eastAsia="Times New Roman" w:hAnsi="Calibri" w:cs="Calibri"/>
                      <w:b/>
                      <w:color w:val="000000"/>
                      <w:sz w:val="40"/>
                      <w:szCs w:val="40"/>
                      <w:lang w:eastAsia="it-IT"/>
                    </w:rPr>
                    <w:t>2018</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b/>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b/>
                      <w:color w:val="000000"/>
                      <w:sz w:val="40"/>
                      <w:szCs w:val="40"/>
                      <w:lang w:eastAsia="it-IT"/>
                    </w:rPr>
                  </w:pPr>
                  <w:r w:rsidRPr="001E2478">
                    <w:rPr>
                      <w:rFonts w:ascii="Calibri" w:eastAsia="Times New Roman" w:hAnsi="Calibri" w:cs="Calibri"/>
                      <w:b/>
                      <w:color w:val="000000"/>
                      <w:sz w:val="40"/>
                      <w:szCs w:val="40"/>
                      <w:lang w:eastAsia="it-IT"/>
                    </w:rPr>
                    <w:t>TOTALE</w:t>
                  </w: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r>
            <w:tr w:rsidR="001E2478" w:rsidRPr="001E2478" w:rsidTr="001E2478">
              <w:trPr>
                <w:trHeight w:val="36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CH</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18</w:t>
                  </w:r>
                </w:p>
              </w:tc>
              <w:tc>
                <w:tcPr>
                  <w:tcW w:w="1529" w:type="dxa"/>
                  <w:tcBorders>
                    <w:top w:val="nil"/>
                    <w:left w:val="nil"/>
                    <w:bottom w:val="nil"/>
                    <w:right w:val="nil"/>
                  </w:tcBorders>
                  <w:shd w:val="clear" w:color="auto" w:fill="auto"/>
                  <w:noWrap/>
                  <w:vAlign w:val="bottom"/>
                  <w:hideMark/>
                </w:tcPr>
                <w:p w:rsidR="001E2478" w:rsidRPr="001E2478" w:rsidRDefault="00125234" w:rsidP="001E2478">
                  <w:pPr>
                    <w:spacing w:after="0" w:line="240" w:lineRule="auto"/>
                    <w:jc w:val="right"/>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77</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1E2478" w:rsidP="00125234">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9</w:t>
                  </w:r>
                  <w:r w:rsidR="00125234">
                    <w:rPr>
                      <w:rFonts w:ascii="Calibri" w:eastAsia="Times New Roman" w:hAnsi="Calibri" w:cs="Calibri"/>
                      <w:color w:val="000000"/>
                      <w:sz w:val="40"/>
                      <w:szCs w:val="40"/>
                      <w:lang w:eastAsia="it-IT"/>
                    </w:rPr>
                    <w:t>5</w:t>
                  </w: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right"/>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r w:rsidR="00125234">
                    <w:rPr>
                      <w:rFonts w:ascii="Calibri" w:eastAsia="Times New Roman" w:hAnsi="Calibri" w:cs="Calibri"/>
                      <w:b/>
                      <w:bCs/>
                      <w:color w:val="000000"/>
                      <w:sz w:val="40"/>
                      <w:szCs w:val="40"/>
                      <w:lang w:eastAsia="it-IT"/>
                    </w:rPr>
                    <w:t>328</w:t>
                  </w: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w:t>
                  </w:r>
                </w:p>
              </w:tc>
            </w:tr>
            <w:tr w:rsidR="001E2478" w:rsidRPr="001E2478" w:rsidTr="001E2478">
              <w:trPr>
                <w:trHeight w:val="52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CAR</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39</w:t>
                  </w:r>
                </w:p>
              </w:tc>
              <w:tc>
                <w:tcPr>
                  <w:tcW w:w="1529" w:type="dxa"/>
                  <w:tcBorders>
                    <w:top w:val="nil"/>
                    <w:left w:val="nil"/>
                    <w:bottom w:val="nil"/>
                    <w:right w:val="nil"/>
                  </w:tcBorders>
                  <w:shd w:val="clear" w:color="auto" w:fill="auto"/>
                  <w:noWrap/>
                  <w:vAlign w:val="bottom"/>
                  <w:hideMark/>
                </w:tcPr>
                <w:p w:rsidR="001E2478" w:rsidRPr="001E2478" w:rsidRDefault="007D45A0" w:rsidP="001E2478">
                  <w:pPr>
                    <w:spacing w:after="0" w:line="240" w:lineRule="auto"/>
                    <w:jc w:val="right"/>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116</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7D45A0" w:rsidP="001E2478">
                  <w:pPr>
                    <w:spacing w:after="0" w:line="240" w:lineRule="auto"/>
                    <w:jc w:val="center"/>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155</w:t>
                  </w: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right"/>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r w:rsidR="007D45A0">
                    <w:rPr>
                      <w:rFonts w:ascii="Calibri" w:eastAsia="Times New Roman" w:hAnsi="Calibri" w:cs="Calibri"/>
                      <w:b/>
                      <w:bCs/>
                      <w:color w:val="000000"/>
                      <w:sz w:val="40"/>
                      <w:szCs w:val="40"/>
                      <w:lang w:eastAsia="it-IT"/>
                    </w:rPr>
                    <w:t>197</w:t>
                  </w: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w:t>
                  </w:r>
                </w:p>
              </w:tc>
            </w:tr>
            <w:tr w:rsidR="001E2478" w:rsidRPr="001E2478" w:rsidTr="001E2478">
              <w:trPr>
                <w:trHeight w:val="52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INF</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16</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right"/>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22</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38</w:t>
                  </w: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right"/>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r w:rsidRPr="001E2478">
                    <w:rPr>
                      <w:rFonts w:ascii="Calibri" w:eastAsia="Times New Roman" w:hAnsi="Calibri" w:cs="Calibri"/>
                      <w:b/>
                      <w:bCs/>
                      <w:color w:val="000000"/>
                      <w:sz w:val="40"/>
                      <w:szCs w:val="40"/>
                      <w:lang w:eastAsia="it-IT"/>
                    </w:rPr>
                    <w:t>38</w:t>
                  </w: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w:t>
                  </w:r>
                </w:p>
              </w:tc>
            </w:tr>
            <w:tr w:rsidR="001E2478" w:rsidRPr="001E2478" w:rsidTr="001E2478">
              <w:trPr>
                <w:trHeight w:val="52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GEN</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0</w:t>
                  </w:r>
                </w:p>
              </w:tc>
              <w:tc>
                <w:tcPr>
                  <w:tcW w:w="1529" w:type="dxa"/>
                  <w:tcBorders>
                    <w:top w:val="nil"/>
                    <w:left w:val="nil"/>
                    <w:bottom w:val="nil"/>
                    <w:right w:val="nil"/>
                  </w:tcBorders>
                  <w:shd w:val="clear" w:color="auto" w:fill="auto"/>
                  <w:noWrap/>
                  <w:vAlign w:val="bottom"/>
                  <w:hideMark/>
                </w:tcPr>
                <w:p w:rsidR="001E2478" w:rsidRPr="001E2478" w:rsidRDefault="00125234" w:rsidP="001E2478">
                  <w:pPr>
                    <w:spacing w:after="0" w:line="240" w:lineRule="auto"/>
                    <w:jc w:val="right"/>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91</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125234" w:rsidP="001E2478">
                  <w:pPr>
                    <w:spacing w:after="0" w:line="240" w:lineRule="auto"/>
                    <w:jc w:val="center"/>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91</w:t>
                  </w: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b/>
                      <w:bCs/>
                      <w:color w:val="000000"/>
                      <w:sz w:val="40"/>
                      <w:szCs w:val="40"/>
                      <w:lang w:eastAsia="it-IT"/>
                    </w:rPr>
                  </w:pP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r>
            <w:tr w:rsidR="001E2478" w:rsidRPr="001E2478" w:rsidTr="001E2478">
              <w:trPr>
                <w:trHeight w:val="52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N. CH</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0</w:t>
                  </w:r>
                </w:p>
              </w:tc>
              <w:tc>
                <w:tcPr>
                  <w:tcW w:w="1529" w:type="dxa"/>
                  <w:tcBorders>
                    <w:top w:val="nil"/>
                    <w:left w:val="nil"/>
                    <w:bottom w:val="nil"/>
                    <w:right w:val="nil"/>
                  </w:tcBorders>
                  <w:shd w:val="clear" w:color="auto" w:fill="auto"/>
                  <w:noWrap/>
                  <w:vAlign w:val="bottom"/>
                  <w:hideMark/>
                </w:tcPr>
                <w:p w:rsidR="001E2478" w:rsidRPr="001E2478" w:rsidRDefault="00A74BAF" w:rsidP="001E2478">
                  <w:pPr>
                    <w:spacing w:after="0" w:line="240" w:lineRule="auto"/>
                    <w:jc w:val="right"/>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5</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A74BAF" w:rsidP="001E2478">
                  <w:pPr>
                    <w:spacing w:after="0" w:line="240" w:lineRule="auto"/>
                    <w:jc w:val="center"/>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5</w:t>
                  </w: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b/>
                      <w:bCs/>
                      <w:color w:val="000000"/>
                      <w:sz w:val="40"/>
                      <w:szCs w:val="40"/>
                      <w:lang w:eastAsia="it-IT"/>
                    </w:rPr>
                  </w:pP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r>
            <w:tr w:rsidR="001E2478" w:rsidRPr="001E2478" w:rsidTr="001E2478">
              <w:trPr>
                <w:trHeight w:val="52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NEUR</w:t>
                  </w:r>
                </w:p>
              </w:tc>
              <w:tc>
                <w:tcPr>
                  <w:tcW w:w="1529"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0</w:t>
                  </w:r>
                </w:p>
              </w:tc>
              <w:tc>
                <w:tcPr>
                  <w:tcW w:w="1529" w:type="dxa"/>
                  <w:tcBorders>
                    <w:top w:val="nil"/>
                    <w:left w:val="nil"/>
                    <w:bottom w:val="nil"/>
                    <w:right w:val="nil"/>
                  </w:tcBorders>
                  <w:shd w:val="clear" w:color="auto" w:fill="auto"/>
                  <w:noWrap/>
                  <w:vAlign w:val="bottom"/>
                  <w:hideMark/>
                </w:tcPr>
                <w:p w:rsidR="001E2478" w:rsidRPr="001E2478" w:rsidRDefault="00A74BAF" w:rsidP="001E2478">
                  <w:pPr>
                    <w:spacing w:after="0" w:line="240" w:lineRule="auto"/>
                    <w:jc w:val="right"/>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5</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auto" w:fill="auto"/>
                  <w:noWrap/>
                  <w:vAlign w:val="bottom"/>
                  <w:hideMark/>
                </w:tcPr>
                <w:p w:rsidR="001E2478" w:rsidRPr="001E2478" w:rsidRDefault="00A74BAF" w:rsidP="001E2478">
                  <w:pPr>
                    <w:spacing w:after="0" w:line="240" w:lineRule="auto"/>
                    <w:jc w:val="center"/>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5</w:t>
                  </w:r>
                </w:p>
              </w:tc>
              <w:tc>
                <w:tcPr>
                  <w:tcW w:w="98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b/>
                      <w:bCs/>
                      <w:color w:val="000000"/>
                      <w:sz w:val="40"/>
                      <w:szCs w:val="40"/>
                      <w:lang w:eastAsia="it-IT"/>
                    </w:rPr>
                  </w:pP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r>
            <w:tr w:rsidR="001E2478" w:rsidRPr="001E2478" w:rsidTr="001E2478">
              <w:trPr>
                <w:trHeight w:val="525"/>
              </w:trPr>
              <w:tc>
                <w:tcPr>
                  <w:tcW w:w="1742"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b/>
                      <w:color w:val="000000"/>
                      <w:sz w:val="40"/>
                      <w:szCs w:val="40"/>
                      <w:lang w:eastAsia="it-IT"/>
                    </w:rPr>
                  </w:pPr>
                  <w:r w:rsidRPr="001E2478">
                    <w:rPr>
                      <w:rFonts w:ascii="Calibri" w:eastAsia="Times New Roman" w:hAnsi="Calibri" w:cs="Calibri"/>
                      <w:b/>
                      <w:color w:val="000000"/>
                      <w:sz w:val="40"/>
                      <w:szCs w:val="40"/>
                      <w:lang w:eastAsia="it-IT"/>
                    </w:rPr>
                    <w:t>Tot</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478" w:rsidRPr="001E2478" w:rsidRDefault="001E2478" w:rsidP="001E2478">
                  <w:pPr>
                    <w:spacing w:after="0" w:line="240" w:lineRule="auto"/>
                    <w:jc w:val="center"/>
                    <w:rPr>
                      <w:rFonts w:ascii="Calibri" w:eastAsia="Times New Roman" w:hAnsi="Calibri" w:cs="Calibri"/>
                      <w:b/>
                      <w:sz w:val="40"/>
                      <w:szCs w:val="40"/>
                      <w:highlight w:val="yellow"/>
                      <w:lang w:eastAsia="it-IT"/>
                    </w:rPr>
                  </w:pPr>
                  <w:r w:rsidRPr="001E2478">
                    <w:rPr>
                      <w:rFonts w:ascii="Calibri" w:eastAsia="Times New Roman" w:hAnsi="Calibri" w:cs="Calibri"/>
                      <w:b/>
                      <w:sz w:val="40"/>
                      <w:szCs w:val="40"/>
                      <w:highlight w:val="yellow"/>
                      <w:lang w:eastAsia="it-IT"/>
                    </w:rPr>
                    <w:t>73</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rsidR="001E2478" w:rsidRPr="001E2478" w:rsidRDefault="007D45A0" w:rsidP="001E2478">
                  <w:pPr>
                    <w:spacing w:after="0" w:line="240" w:lineRule="auto"/>
                    <w:jc w:val="center"/>
                    <w:rPr>
                      <w:rFonts w:ascii="Calibri" w:eastAsia="Times New Roman" w:hAnsi="Calibri" w:cs="Calibri"/>
                      <w:b/>
                      <w:sz w:val="40"/>
                      <w:szCs w:val="40"/>
                      <w:highlight w:val="yellow"/>
                      <w:lang w:eastAsia="it-IT"/>
                    </w:rPr>
                  </w:pPr>
                  <w:r>
                    <w:rPr>
                      <w:rFonts w:ascii="Calibri" w:eastAsia="Times New Roman" w:hAnsi="Calibri" w:cs="Calibri"/>
                      <w:b/>
                      <w:sz w:val="40"/>
                      <w:szCs w:val="40"/>
                      <w:highlight w:val="yellow"/>
                      <w:lang w:eastAsia="it-IT"/>
                    </w:rPr>
                    <w:t>316</w:t>
                  </w:r>
                </w:p>
              </w:tc>
              <w:tc>
                <w:tcPr>
                  <w:tcW w:w="120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p>
              </w:tc>
              <w:tc>
                <w:tcPr>
                  <w:tcW w:w="1620" w:type="dxa"/>
                  <w:tcBorders>
                    <w:top w:val="nil"/>
                    <w:left w:val="nil"/>
                    <w:bottom w:val="nil"/>
                    <w:right w:val="nil"/>
                  </w:tcBorders>
                  <w:shd w:val="clear" w:color="000000" w:fill="FFFF00"/>
                  <w:noWrap/>
                  <w:vAlign w:val="bottom"/>
                  <w:hideMark/>
                </w:tcPr>
                <w:p w:rsidR="001E2478" w:rsidRPr="001E2478" w:rsidRDefault="00125234" w:rsidP="001E2478">
                  <w:pPr>
                    <w:spacing w:after="0" w:line="240" w:lineRule="auto"/>
                    <w:jc w:val="center"/>
                    <w:rPr>
                      <w:rFonts w:ascii="Calibri" w:eastAsia="Times New Roman" w:hAnsi="Calibri" w:cs="Calibri"/>
                      <w:color w:val="000000"/>
                      <w:sz w:val="40"/>
                      <w:szCs w:val="40"/>
                      <w:lang w:eastAsia="it-IT"/>
                    </w:rPr>
                  </w:pPr>
                  <w:r>
                    <w:rPr>
                      <w:rFonts w:ascii="Calibri" w:eastAsia="Times New Roman" w:hAnsi="Calibri" w:cs="Calibri"/>
                      <w:color w:val="000000"/>
                      <w:sz w:val="40"/>
                      <w:szCs w:val="40"/>
                      <w:lang w:eastAsia="it-IT"/>
                    </w:rPr>
                    <w:t>38</w:t>
                  </w:r>
                  <w:r w:rsidR="007D45A0">
                    <w:rPr>
                      <w:rFonts w:ascii="Calibri" w:eastAsia="Times New Roman" w:hAnsi="Calibri" w:cs="Calibri"/>
                      <w:color w:val="000000"/>
                      <w:sz w:val="40"/>
                      <w:szCs w:val="40"/>
                      <w:lang w:eastAsia="it-IT"/>
                    </w:rPr>
                    <w:t>9</w:t>
                  </w:r>
                </w:p>
              </w:tc>
              <w:tc>
                <w:tcPr>
                  <w:tcW w:w="980" w:type="dxa"/>
                  <w:tcBorders>
                    <w:top w:val="nil"/>
                    <w:left w:val="nil"/>
                    <w:bottom w:val="nil"/>
                    <w:right w:val="nil"/>
                  </w:tcBorders>
                  <w:shd w:val="clear" w:color="auto" w:fill="auto"/>
                  <w:noWrap/>
                  <w:vAlign w:val="bottom"/>
                  <w:hideMark/>
                </w:tcPr>
                <w:p w:rsidR="001E2478" w:rsidRPr="001E2478" w:rsidRDefault="001E2478" w:rsidP="00125234">
                  <w:pPr>
                    <w:spacing w:after="0" w:line="240" w:lineRule="auto"/>
                    <w:jc w:val="right"/>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r w:rsidR="007D45A0">
                    <w:rPr>
                      <w:rFonts w:ascii="Calibri" w:eastAsia="Times New Roman" w:hAnsi="Calibri" w:cs="Calibri"/>
                      <w:b/>
                      <w:bCs/>
                      <w:color w:val="000000"/>
                      <w:sz w:val="40"/>
                      <w:szCs w:val="40"/>
                      <w:lang w:eastAsia="it-IT"/>
                    </w:rPr>
                    <w:t>333</w:t>
                  </w:r>
                </w:p>
              </w:tc>
              <w:tc>
                <w:tcPr>
                  <w:tcW w:w="960" w:type="dxa"/>
                  <w:tcBorders>
                    <w:top w:val="nil"/>
                    <w:left w:val="nil"/>
                    <w:bottom w:val="nil"/>
                    <w:right w:val="nil"/>
                  </w:tcBorders>
                  <w:shd w:val="clear" w:color="auto" w:fill="auto"/>
                  <w:noWrap/>
                  <w:vAlign w:val="bottom"/>
                  <w:hideMark/>
                </w:tcPr>
                <w:p w:rsidR="001E2478" w:rsidRPr="001E2478" w:rsidRDefault="001E2478" w:rsidP="001E2478">
                  <w:pPr>
                    <w:spacing w:after="0" w:line="240" w:lineRule="auto"/>
                    <w:rPr>
                      <w:rFonts w:ascii="Calibri" w:eastAsia="Times New Roman" w:hAnsi="Calibri" w:cs="Calibri"/>
                      <w:color w:val="000000"/>
                      <w:sz w:val="40"/>
                      <w:szCs w:val="40"/>
                      <w:lang w:eastAsia="it-IT"/>
                    </w:rPr>
                  </w:pPr>
                  <w:r w:rsidRPr="001E2478">
                    <w:rPr>
                      <w:rFonts w:ascii="Calibri" w:eastAsia="Times New Roman" w:hAnsi="Calibri" w:cs="Calibri"/>
                      <w:color w:val="000000"/>
                      <w:sz w:val="40"/>
                      <w:szCs w:val="40"/>
                      <w:lang w:eastAsia="it-IT"/>
                    </w:rPr>
                    <w:t>%</w:t>
                  </w:r>
                </w:p>
              </w:tc>
            </w:tr>
          </w:tbl>
          <w:p w:rsidR="009D3C25" w:rsidRPr="009D3C25" w:rsidRDefault="009D3C25" w:rsidP="001E2478">
            <w:pPr>
              <w:spacing w:after="0" w:line="240" w:lineRule="auto"/>
              <w:jc w:val="center"/>
              <w:rPr>
                <w:rFonts w:ascii="Calibri" w:eastAsia="Times New Roman" w:hAnsi="Calibri" w:cs="Calibri"/>
                <w:b/>
                <w:color w:val="000000"/>
                <w:sz w:val="40"/>
                <w:szCs w:val="40"/>
                <w:lang w:eastAsia="it-IT"/>
              </w:rPr>
            </w:pPr>
          </w:p>
        </w:tc>
      </w:tr>
    </w:tbl>
    <w:p w:rsidR="007253FE" w:rsidRDefault="007253FE"/>
    <w:p w:rsidR="008A7A8C" w:rsidRDefault="008A7A8C" w:rsidP="008A7A8C">
      <w:pPr>
        <w:jc w:val="center"/>
      </w:pPr>
    </w:p>
    <w:p w:rsidR="008A7A8C" w:rsidRDefault="008A7A8C" w:rsidP="008A7A8C">
      <w:pPr>
        <w:jc w:val="center"/>
      </w:pPr>
    </w:p>
    <w:p w:rsidR="008A7A8C" w:rsidRDefault="00DD552B" w:rsidP="008A7A8C">
      <w:pPr>
        <w:jc w:val="center"/>
      </w:pPr>
      <w:r>
        <w:rPr>
          <w:noProof/>
          <w:lang w:eastAsia="it-IT"/>
        </w:rPr>
        <w:drawing>
          <wp:inline distT="0" distB="0" distL="0" distR="0" wp14:anchorId="5FD03F31" wp14:editId="6BF37BAB">
            <wp:extent cx="6071191" cy="3817089"/>
            <wp:effectExtent l="0" t="0" r="25400" b="12065"/>
            <wp:docPr id="42" name="Gra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4064" w:rsidRDefault="00D34064" w:rsidP="008A7A8C">
      <w:pPr>
        <w:jc w:val="center"/>
      </w:pPr>
    </w:p>
    <w:tbl>
      <w:tblPr>
        <w:tblW w:w="9709" w:type="dxa"/>
        <w:tblLayout w:type="fixed"/>
        <w:tblCellMar>
          <w:left w:w="70" w:type="dxa"/>
          <w:right w:w="70" w:type="dxa"/>
        </w:tblCellMar>
        <w:tblLook w:val="04A0" w:firstRow="1" w:lastRow="0" w:firstColumn="1" w:lastColumn="0" w:noHBand="0" w:noVBand="1"/>
      </w:tblPr>
      <w:tblGrid>
        <w:gridCol w:w="6306"/>
        <w:gridCol w:w="1135"/>
        <w:gridCol w:w="993"/>
        <w:gridCol w:w="425"/>
        <w:gridCol w:w="850"/>
      </w:tblGrid>
      <w:tr w:rsidR="005C2A9C" w:rsidRPr="00D34064" w:rsidTr="005C2A9C">
        <w:trPr>
          <w:trHeight w:val="315"/>
        </w:trPr>
        <w:tc>
          <w:tcPr>
            <w:tcW w:w="6306" w:type="dxa"/>
            <w:tcBorders>
              <w:top w:val="nil"/>
              <w:left w:val="nil"/>
              <w:bottom w:val="nil"/>
              <w:right w:val="nil"/>
            </w:tcBorders>
            <w:shd w:val="clear" w:color="auto" w:fill="auto"/>
            <w:noWrap/>
            <w:vAlign w:val="bottom"/>
            <w:hideMark/>
          </w:tcPr>
          <w:p w:rsidR="005C2A9C" w:rsidRPr="00D34064" w:rsidRDefault="005C2A9C" w:rsidP="00D34064">
            <w:pPr>
              <w:spacing w:after="0" w:line="240" w:lineRule="auto"/>
              <w:rPr>
                <w:rFonts w:ascii="Calibri" w:eastAsia="Times New Roman" w:hAnsi="Calibri" w:cs="Calibri"/>
                <w:color w:val="000000"/>
                <w:lang w:eastAsia="it-IT"/>
              </w:rPr>
            </w:pPr>
          </w:p>
        </w:tc>
        <w:tc>
          <w:tcPr>
            <w:tcW w:w="1135" w:type="dxa"/>
            <w:tcBorders>
              <w:top w:val="nil"/>
              <w:left w:val="nil"/>
              <w:bottom w:val="nil"/>
              <w:right w:val="nil"/>
            </w:tcBorders>
            <w:shd w:val="clear" w:color="auto" w:fill="auto"/>
            <w:noWrap/>
            <w:vAlign w:val="bottom"/>
            <w:hideMark/>
          </w:tcPr>
          <w:p w:rsidR="005C2A9C" w:rsidRPr="00D34064" w:rsidRDefault="005C2A9C" w:rsidP="005C2A9C">
            <w:pPr>
              <w:spacing w:after="0" w:line="240" w:lineRule="auto"/>
              <w:jc w:val="center"/>
              <w:rPr>
                <w:rFonts w:ascii="Calibri" w:eastAsia="Times New Roman" w:hAnsi="Calibri" w:cs="Calibri"/>
                <w:b/>
                <w:color w:val="000000"/>
                <w:sz w:val="36"/>
                <w:szCs w:val="36"/>
                <w:lang w:eastAsia="it-IT"/>
              </w:rPr>
            </w:pPr>
            <w:r w:rsidRPr="00D34064">
              <w:rPr>
                <w:rFonts w:ascii="Calibri" w:eastAsia="Times New Roman" w:hAnsi="Calibri" w:cs="Calibri"/>
                <w:b/>
                <w:color w:val="000000"/>
                <w:sz w:val="36"/>
                <w:szCs w:val="36"/>
                <w:lang w:eastAsia="it-IT"/>
              </w:rPr>
              <w:t>2017</w:t>
            </w:r>
          </w:p>
        </w:tc>
        <w:tc>
          <w:tcPr>
            <w:tcW w:w="993" w:type="dxa"/>
            <w:tcBorders>
              <w:top w:val="nil"/>
              <w:left w:val="nil"/>
              <w:bottom w:val="nil"/>
              <w:right w:val="nil"/>
            </w:tcBorders>
            <w:shd w:val="clear" w:color="auto" w:fill="auto"/>
            <w:noWrap/>
            <w:vAlign w:val="bottom"/>
            <w:hideMark/>
          </w:tcPr>
          <w:p w:rsidR="005C2A9C" w:rsidRPr="00D34064" w:rsidRDefault="005C2A9C" w:rsidP="00D34064">
            <w:pPr>
              <w:spacing w:after="0" w:line="240" w:lineRule="auto"/>
              <w:rPr>
                <w:rFonts w:ascii="Calibri" w:eastAsia="Times New Roman" w:hAnsi="Calibri" w:cs="Calibri"/>
                <w:b/>
                <w:color w:val="000000"/>
                <w:sz w:val="36"/>
                <w:szCs w:val="36"/>
                <w:lang w:eastAsia="it-IT"/>
              </w:rPr>
            </w:pPr>
            <w:r w:rsidRPr="005C2A9C">
              <w:rPr>
                <w:rFonts w:ascii="Calibri" w:eastAsia="Times New Roman" w:hAnsi="Calibri" w:cs="Calibri"/>
                <w:b/>
                <w:color w:val="000000"/>
                <w:sz w:val="36"/>
                <w:szCs w:val="36"/>
                <w:lang w:eastAsia="it-IT"/>
              </w:rPr>
              <w:t>2018</w:t>
            </w:r>
          </w:p>
        </w:tc>
        <w:tc>
          <w:tcPr>
            <w:tcW w:w="425" w:type="dxa"/>
            <w:tcBorders>
              <w:top w:val="nil"/>
              <w:left w:val="nil"/>
              <w:bottom w:val="nil"/>
              <w:right w:val="nil"/>
            </w:tcBorders>
          </w:tcPr>
          <w:p w:rsidR="005C2A9C" w:rsidRPr="00D34064" w:rsidRDefault="005C2A9C" w:rsidP="00D34064">
            <w:pPr>
              <w:spacing w:after="0" w:line="240" w:lineRule="auto"/>
              <w:rPr>
                <w:rFonts w:ascii="Calibri" w:eastAsia="Times New Roman" w:hAnsi="Calibri" w:cs="Calibri"/>
                <w:color w:val="000000"/>
                <w:sz w:val="24"/>
                <w:szCs w:val="24"/>
                <w:lang w:eastAsia="it-IT"/>
              </w:rPr>
            </w:pPr>
          </w:p>
        </w:tc>
        <w:tc>
          <w:tcPr>
            <w:tcW w:w="850" w:type="dxa"/>
            <w:tcBorders>
              <w:top w:val="nil"/>
              <w:left w:val="nil"/>
              <w:bottom w:val="nil"/>
              <w:right w:val="nil"/>
            </w:tcBorders>
          </w:tcPr>
          <w:p w:rsidR="005C2A9C" w:rsidRPr="00D34064" w:rsidRDefault="005C2A9C" w:rsidP="00D34064">
            <w:pPr>
              <w:spacing w:after="0" w:line="240" w:lineRule="auto"/>
              <w:rPr>
                <w:rFonts w:ascii="Calibri" w:eastAsia="Times New Roman" w:hAnsi="Calibri" w:cs="Calibri"/>
                <w:color w:val="000000"/>
                <w:sz w:val="24"/>
                <w:szCs w:val="24"/>
                <w:lang w:eastAsia="it-IT"/>
              </w:rPr>
            </w:pPr>
          </w:p>
        </w:tc>
      </w:tr>
      <w:tr w:rsidR="005C2A9C" w:rsidRPr="00D34064" w:rsidTr="005C2A9C">
        <w:trPr>
          <w:trHeight w:val="540"/>
        </w:trPr>
        <w:tc>
          <w:tcPr>
            <w:tcW w:w="63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sidRPr="00D34064">
              <w:rPr>
                <w:rFonts w:ascii="Calibri" w:eastAsia="Times New Roman" w:hAnsi="Calibri" w:cs="Calibri"/>
                <w:b/>
                <w:bCs/>
                <w:color w:val="000000"/>
                <w:sz w:val="40"/>
                <w:szCs w:val="40"/>
                <w:lang w:eastAsia="it-IT"/>
              </w:rPr>
              <w:t>Malformazioni Maggiori</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sidRPr="00D34064">
              <w:rPr>
                <w:rFonts w:ascii="Calibri" w:eastAsia="Times New Roman" w:hAnsi="Calibri" w:cs="Calibri"/>
                <w:b/>
                <w:bCs/>
                <w:color w:val="000000"/>
                <w:sz w:val="40"/>
                <w:szCs w:val="40"/>
                <w:lang w:eastAsia="it-IT"/>
              </w:rPr>
              <w:t>80</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5C2A9C" w:rsidRPr="00D34064" w:rsidRDefault="00C20381"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96</w:t>
            </w:r>
          </w:p>
        </w:tc>
        <w:tc>
          <w:tcPr>
            <w:tcW w:w="425" w:type="dxa"/>
            <w:tcBorders>
              <w:top w:val="single" w:sz="8" w:space="0" w:color="auto"/>
              <w:left w:val="nil"/>
              <w:bottom w:val="single" w:sz="8" w:space="0" w:color="auto"/>
              <w:right w:val="single" w:sz="8" w:space="0" w:color="auto"/>
            </w:tcBorders>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p>
        </w:tc>
        <w:tc>
          <w:tcPr>
            <w:tcW w:w="850" w:type="dxa"/>
            <w:tcBorders>
              <w:top w:val="single" w:sz="8" w:space="0" w:color="auto"/>
              <w:left w:val="nil"/>
              <w:bottom w:val="single" w:sz="8" w:space="0" w:color="auto"/>
              <w:right w:val="single" w:sz="8" w:space="0" w:color="auto"/>
            </w:tcBorders>
          </w:tcPr>
          <w:p w:rsidR="005C2A9C" w:rsidRPr="00D34064" w:rsidRDefault="00C20381"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20</w:t>
            </w:r>
            <w:r w:rsidR="005C2A9C">
              <w:rPr>
                <w:rFonts w:ascii="Calibri" w:eastAsia="Times New Roman" w:hAnsi="Calibri" w:cs="Calibri"/>
                <w:b/>
                <w:bCs/>
                <w:color w:val="000000"/>
                <w:sz w:val="40"/>
                <w:szCs w:val="40"/>
                <w:lang w:eastAsia="it-IT"/>
              </w:rPr>
              <w:t>%</w:t>
            </w:r>
          </w:p>
        </w:tc>
      </w:tr>
      <w:tr w:rsidR="005C2A9C" w:rsidRPr="00D34064" w:rsidTr="00CD0DEC">
        <w:trPr>
          <w:trHeight w:val="540"/>
        </w:trPr>
        <w:tc>
          <w:tcPr>
            <w:tcW w:w="6306" w:type="dxa"/>
            <w:tcBorders>
              <w:top w:val="nil"/>
              <w:left w:val="single" w:sz="8" w:space="0" w:color="auto"/>
              <w:bottom w:val="single" w:sz="4" w:space="0" w:color="auto"/>
              <w:right w:val="single" w:sz="8" w:space="0" w:color="auto"/>
            </w:tcBorders>
            <w:shd w:val="clear" w:color="auto" w:fill="auto"/>
            <w:noWrap/>
            <w:vAlign w:val="center"/>
            <w:hideMark/>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sidRPr="00D34064">
              <w:rPr>
                <w:rFonts w:ascii="Calibri" w:eastAsia="Times New Roman" w:hAnsi="Calibri" w:cs="Calibri"/>
                <w:b/>
                <w:bCs/>
                <w:color w:val="000000"/>
                <w:sz w:val="40"/>
                <w:szCs w:val="40"/>
                <w:lang w:eastAsia="it-IT"/>
              </w:rPr>
              <w:t>Malformazioni minori</w:t>
            </w:r>
          </w:p>
        </w:tc>
        <w:tc>
          <w:tcPr>
            <w:tcW w:w="1135" w:type="dxa"/>
            <w:tcBorders>
              <w:top w:val="nil"/>
              <w:left w:val="nil"/>
              <w:bottom w:val="single" w:sz="4" w:space="0" w:color="auto"/>
              <w:right w:val="single" w:sz="8" w:space="0" w:color="auto"/>
            </w:tcBorders>
            <w:shd w:val="clear" w:color="auto" w:fill="auto"/>
            <w:noWrap/>
            <w:vAlign w:val="center"/>
            <w:hideMark/>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sidRPr="00D34064">
              <w:rPr>
                <w:rFonts w:ascii="Calibri" w:eastAsia="Times New Roman" w:hAnsi="Calibri" w:cs="Calibri"/>
                <w:b/>
                <w:bCs/>
                <w:color w:val="000000"/>
                <w:sz w:val="40"/>
                <w:szCs w:val="40"/>
                <w:lang w:eastAsia="it-IT"/>
              </w:rPr>
              <w:t>98</w:t>
            </w:r>
          </w:p>
        </w:tc>
        <w:tc>
          <w:tcPr>
            <w:tcW w:w="993" w:type="dxa"/>
            <w:tcBorders>
              <w:top w:val="nil"/>
              <w:left w:val="nil"/>
              <w:bottom w:val="single" w:sz="4" w:space="0" w:color="auto"/>
              <w:right w:val="single" w:sz="8" w:space="0" w:color="auto"/>
            </w:tcBorders>
            <w:shd w:val="clear" w:color="auto" w:fill="auto"/>
            <w:noWrap/>
            <w:vAlign w:val="center"/>
            <w:hideMark/>
          </w:tcPr>
          <w:p w:rsidR="005C2A9C" w:rsidRPr="00D34064" w:rsidRDefault="00C20381"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172</w:t>
            </w:r>
          </w:p>
        </w:tc>
        <w:tc>
          <w:tcPr>
            <w:tcW w:w="425" w:type="dxa"/>
            <w:tcBorders>
              <w:top w:val="nil"/>
              <w:left w:val="nil"/>
              <w:bottom w:val="single" w:sz="4" w:space="0" w:color="auto"/>
              <w:right w:val="single" w:sz="8" w:space="0" w:color="auto"/>
            </w:tcBorders>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p>
        </w:tc>
        <w:tc>
          <w:tcPr>
            <w:tcW w:w="850" w:type="dxa"/>
            <w:tcBorders>
              <w:top w:val="nil"/>
              <w:left w:val="nil"/>
              <w:bottom w:val="single" w:sz="4" w:space="0" w:color="auto"/>
              <w:right w:val="single" w:sz="8" w:space="0" w:color="auto"/>
            </w:tcBorders>
          </w:tcPr>
          <w:p w:rsidR="005C2A9C" w:rsidRPr="00D34064" w:rsidRDefault="00C20381"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76</w:t>
            </w:r>
            <w:r w:rsidR="005C2A9C">
              <w:rPr>
                <w:rFonts w:ascii="Calibri" w:eastAsia="Times New Roman" w:hAnsi="Calibri" w:cs="Calibri"/>
                <w:b/>
                <w:bCs/>
                <w:color w:val="000000"/>
                <w:sz w:val="40"/>
                <w:szCs w:val="40"/>
                <w:lang w:eastAsia="it-IT"/>
              </w:rPr>
              <w:t>%</w:t>
            </w:r>
          </w:p>
        </w:tc>
      </w:tr>
      <w:tr w:rsidR="005C2A9C" w:rsidRPr="00D34064" w:rsidTr="00CD0DEC">
        <w:trPr>
          <w:trHeight w:val="645"/>
        </w:trPr>
        <w:tc>
          <w:tcPr>
            <w:tcW w:w="630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sidRPr="00D34064">
              <w:rPr>
                <w:rFonts w:ascii="Calibri" w:eastAsia="Times New Roman" w:hAnsi="Calibri" w:cs="Calibri"/>
                <w:b/>
                <w:bCs/>
                <w:color w:val="000000"/>
                <w:sz w:val="40"/>
                <w:szCs w:val="40"/>
                <w:lang w:eastAsia="it-IT"/>
              </w:rPr>
              <w:t>Anomalie Cromosomiche/Genetiche</w:t>
            </w:r>
          </w:p>
        </w:tc>
        <w:tc>
          <w:tcPr>
            <w:tcW w:w="1135" w:type="dxa"/>
            <w:tcBorders>
              <w:top w:val="single" w:sz="4" w:space="0" w:color="auto"/>
              <w:left w:val="nil"/>
              <w:bottom w:val="single" w:sz="4" w:space="0" w:color="auto"/>
              <w:right w:val="single" w:sz="8" w:space="0" w:color="auto"/>
            </w:tcBorders>
            <w:shd w:val="clear" w:color="auto" w:fill="auto"/>
            <w:noWrap/>
            <w:vAlign w:val="center"/>
            <w:hideMark/>
          </w:tcPr>
          <w:p w:rsidR="005C2A9C" w:rsidRPr="00D34064" w:rsidRDefault="005C2A9C" w:rsidP="00D34064">
            <w:pPr>
              <w:spacing w:after="0" w:line="240" w:lineRule="auto"/>
              <w:jc w:val="center"/>
              <w:rPr>
                <w:rFonts w:ascii="Calibri" w:eastAsia="Times New Roman" w:hAnsi="Calibri" w:cs="Calibri"/>
                <w:b/>
                <w:bCs/>
                <w:color w:val="000000"/>
                <w:sz w:val="40"/>
                <w:szCs w:val="40"/>
                <w:lang w:eastAsia="it-IT"/>
              </w:rPr>
            </w:pPr>
            <w:r w:rsidRPr="00D34064">
              <w:rPr>
                <w:rFonts w:ascii="Calibri" w:eastAsia="Times New Roman" w:hAnsi="Calibri" w:cs="Calibri"/>
                <w:b/>
                <w:bCs/>
                <w:color w:val="000000"/>
                <w:sz w:val="40"/>
                <w:szCs w:val="40"/>
                <w:lang w:eastAsia="it-IT"/>
              </w:rPr>
              <w:t>24</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5C2A9C" w:rsidRPr="00D34064" w:rsidRDefault="00967536" w:rsidP="00C20381">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32</w:t>
            </w:r>
          </w:p>
        </w:tc>
        <w:tc>
          <w:tcPr>
            <w:tcW w:w="425" w:type="dxa"/>
            <w:tcBorders>
              <w:top w:val="single" w:sz="4" w:space="0" w:color="auto"/>
              <w:left w:val="nil"/>
              <w:bottom w:val="single" w:sz="4" w:space="0" w:color="auto"/>
              <w:right w:val="single" w:sz="8" w:space="0" w:color="auto"/>
            </w:tcBorders>
          </w:tcPr>
          <w:p w:rsidR="005C2A9C" w:rsidRPr="00D34064" w:rsidRDefault="00125234"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p>
        </w:tc>
        <w:tc>
          <w:tcPr>
            <w:tcW w:w="850" w:type="dxa"/>
            <w:tcBorders>
              <w:top w:val="single" w:sz="4" w:space="0" w:color="auto"/>
              <w:left w:val="nil"/>
              <w:bottom w:val="single" w:sz="4" w:space="0" w:color="auto"/>
              <w:right w:val="single" w:sz="8" w:space="0" w:color="auto"/>
            </w:tcBorders>
          </w:tcPr>
          <w:p w:rsidR="005C2A9C" w:rsidRPr="00D34064" w:rsidRDefault="00967536"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33</w:t>
            </w:r>
            <w:r w:rsidR="005C2A9C">
              <w:rPr>
                <w:rFonts w:ascii="Calibri" w:eastAsia="Times New Roman" w:hAnsi="Calibri" w:cs="Calibri"/>
                <w:b/>
                <w:bCs/>
                <w:color w:val="000000"/>
                <w:sz w:val="40"/>
                <w:szCs w:val="40"/>
                <w:lang w:eastAsia="it-IT"/>
              </w:rPr>
              <w:t>%</w:t>
            </w:r>
          </w:p>
        </w:tc>
      </w:tr>
      <w:tr w:rsidR="00465A1D" w:rsidRPr="00D34064" w:rsidTr="00CD0DEC">
        <w:trPr>
          <w:trHeight w:val="645"/>
        </w:trPr>
        <w:tc>
          <w:tcPr>
            <w:tcW w:w="6306" w:type="dxa"/>
            <w:tcBorders>
              <w:top w:val="single" w:sz="4" w:space="0" w:color="auto"/>
              <w:left w:val="single" w:sz="8" w:space="0" w:color="auto"/>
              <w:bottom w:val="single" w:sz="8" w:space="0" w:color="auto"/>
              <w:right w:val="single" w:sz="8" w:space="0" w:color="auto"/>
            </w:tcBorders>
            <w:shd w:val="clear" w:color="auto" w:fill="auto"/>
            <w:noWrap/>
            <w:vAlign w:val="center"/>
          </w:tcPr>
          <w:p w:rsidR="00465A1D" w:rsidRPr="00D34064" w:rsidRDefault="00CD0DEC"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TOTALE</w:t>
            </w:r>
          </w:p>
        </w:tc>
        <w:tc>
          <w:tcPr>
            <w:tcW w:w="1135" w:type="dxa"/>
            <w:tcBorders>
              <w:top w:val="single" w:sz="4" w:space="0" w:color="auto"/>
              <w:left w:val="nil"/>
              <w:bottom w:val="single" w:sz="8" w:space="0" w:color="auto"/>
              <w:right w:val="single" w:sz="8" w:space="0" w:color="auto"/>
            </w:tcBorders>
            <w:shd w:val="clear" w:color="auto" w:fill="auto"/>
            <w:noWrap/>
            <w:vAlign w:val="center"/>
          </w:tcPr>
          <w:p w:rsidR="00465A1D" w:rsidRPr="00D34064" w:rsidRDefault="00CD0DEC"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202</w:t>
            </w:r>
          </w:p>
        </w:tc>
        <w:tc>
          <w:tcPr>
            <w:tcW w:w="993" w:type="dxa"/>
            <w:tcBorders>
              <w:top w:val="single" w:sz="4" w:space="0" w:color="auto"/>
              <w:left w:val="nil"/>
              <w:bottom w:val="single" w:sz="8" w:space="0" w:color="auto"/>
              <w:right w:val="single" w:sz="8" w:space="0" w:color="auto"/>
            </w:tcBorders>
            <w:shd w:val="clear" w:color="auto" w:fill="auto"/>
            <w:noWrap/>
            <w:vAlign w:val="center"/>
          </w:tcPr>
          <w:p w:rsidR="00465A1D" w:rsidRDefault="00CD0DEC"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289</w:t>
            </w:r>
          </w:p>
        </w:tc>
        <w:tc>
          <w:tcPr>
            <w:tcW w:w="425" w:type="dxa"/>
            <w:tcBorders>
              <w:top w:val="single" w:sz="4" w:space="0" w:color="auto"/>
              <w:left w:val="nil"/>
              <w:bottom w:val="single" w:sz="8" w:space="0" w:color="auto"/>
              <w:right w:val="single" w:sz="8" w:space="0" w:color="auto"/>
            </w:tcBorders>
          </w:tcPr>
          <w:p w:rsidR="00465A1D" w:rsidRDefault="00CD0DEC"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w:t>
            </w:r>
          </w:p>
        </w:tc>
        <w:tc>
          <w:tcPr>
            <w:tcW w:w="850" w:type="dxa"/>
            <w:tcBorders>
              <w:top w:val="single" w:sz="4" w:space="0" w:color="auto"/>
              <w:left w:val="nil"/>
              <w:bottom w:val="single" w:sz="8" w:space="0" w:color="auto"/>
              <w:right w:val="single" w:sz="8" w:space="0" w:color="auto"/>
            </w:tcBorders>
          </w:tcPr>
          <w:p w:rsidR="00465A1D" w:rsidRDefault="00967536" w:rsidP="00D34064">
            <w:pPr>
              <w:spacing w:after="0" w:line="240" w:lineRule="auto"/>
              <w:jc w:val="center"/>
              <w:rPr>
                <w:rFonts w:ascii="Calibri" w:eastAsia="Times New Roman" w:hAnsi="Calibri" w:cs="Calibri"/>
                <w:b/>
                <w:bCs/>
                <w:color w:val="000000"/>
                <w:sz w:val="40"/>
                <w:szCs w:val="40"/>
                <w:lang w:eastAsia="it-IT"/>
              </w:rPr>
            </w:pPr>
            <w:r>
              <w:rPr>
                <w:rFonts w:ascii="Calibri" w:eastAsia="Times New Roman" w:hAnsi="Calibri" w:cs="Calibri"/>
                <w:b/>
                <w:bCs/>
                <w:color w:val="000000"/>
                <w:sz w:val="40"/>
                <w:szCs w:val="40"/>
                <w:lang w:eastAsia="it-IT"/>
              </w:rPr>
              <w:t>49</w:t>
            </w:r>
            <w:r w:rsidR="00CD0DEC">
              <w:rPr>
                <w:rFonts w:ascii="Calibri" w:eastAsia="Times New Roman" w:hAnsi="Calibri" w:cs="Calibri"/>
                <w:b/>
                <w:bCs/>
                <w:color w:val="000000"/>
                <w:sz w:val="40"/>
                <w:szCs w:val="40"/>
                <w:lang w:eastAsia="it-IT"/>
              </w:rPr>
              <w:t>%</w:t>
            </w:r>
          </w:p>
        </w:tc>
      </w:tr>
    </w:tbl>
    <w:p w:rsidR="00D34064" w:rsidRDefault="00D34064" w:rsidP="008A7A8C">
      <w:pPr>
        <w:jc w:val="center"/>
      </w:pPr>
    </w:p>
    <w:p w:rsidR="00D34064" w:rsidRDefault="00D34064" w:rsidP="008A7A8C">
      <w:pPr>
        <w:jc w:val="center"/>
      </w:pPr>
    </w:p>
    <w:p w:rsidR="00D34064" w:rsidRDefault="00D34064" w:rsidP="008A7A8C">
      <w:pPr>
        <w:jc w:val="center"/>
      </w:pPr>
    </w:p>
    <w:p w:rsidR="008A7A8C" w:rsidRDefault="008A7A8C" w:rsidP="008A7A8C">
      <w:pPr>
        <w:jc w:val="center"/>
      </w:pPr>
    </w:p>
    <w:p w:rsidR="00D34064" w:rsidRDefault="00125234" w:rsidP="008A7A8C">
      <w:pPr>
        <w:jc w:val="center"/>
      </w:pPr>
      <w:r>
        <w:rPr>
          <w:noProof/>
          <w:lang w:eastAsia="it-IT"/>
        </w:rPr>
        <w:drawing>
          <wp:inline distT="0" distB="0" distL="0" distR="0" wp14:anchorId="106F92A4" wp14:editId="374D57D1">
            <wp:extent cx="4572000" cy="2743200"/>
            <wp:effectExtent l="0" t="0" r="19050" b="19050"/>
            <wp:docPr id="37" name="Gra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3AF0" w:rsidRDefault="001D3AF0">
      <w:r>
        <w:br w:type="page"/>
      </w:r>
    </w:p>
    <w:p w:rsidR="005912FB" w:rsidRDefault="007A36BA" w:rsidP="007A36BA">
      <w:pPr>
        <w:jc w:val="center"/>
        <w:rPr>
          <w:rFonts w:ascii="Times New Roman" w:hAnsi="Times New Roman" w:cs="Times New Roman"/>
          <w:sz w:val="40"/>
          <w:szCs w:val="40"/>
        </w:rPr>
      </w:pPr>
      <w:r w:rsidRPr="007A36BA">
        <w:rPr>
          <w:rFonts w:ascii="Times New Roman" w:hAnsi="Times New Roman" w:cs="Times New Roman"/>
          <w:sz w:val="40"/>
          <w:szCs w:val="40"/>
        </w:rPr>
        <w:lastRenderedPageBreak/>
        <w:t>FORMAZIONE</w:t>
      </w:r>
      <w:r w:rsidR="005912FB">
        <w:rPr>
          <w:rFonts w:ascii="Times New Roman" w:hAnsi="Times New Roman" w:cs="Times New Roman"/>
          <w:b/>
          <w:noProof/>
          <w:sz w:val="40"/>
          <w:szCs w:val="40"/>
          <w:lang w:eastAsia="it-IT"/>
        </w:rPr>
        <w:drawing>
          <wp:inline distT="0" distB="0" distL="0" distR="0" wp14:anchorId="22BB3E20" wp14:editId="044B192F">
            <wp:extent cx="6120130" cy="8678690"/>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678690"/>
                    </a:xfrm>
                    <a:prstGeom prst="rect">
                      <a:avLst/>
                    </a:prstGeom>
                    <a:noFill/>
                    <a:ln>
                      <a:noFill/>
                    </a:ln>
                  </pic:spPr>
                </pic:pic>
              </a:graphicData>
            </a:graphic>
          </wp:inline>
        </w:drawing>
      </w:r>
    </w:p>
    <w:p w:rsidR="007A36BA" w:rsidRDefault="005912FB" w:rsidP="007A36BA">
      <w:pPr>
        <w:jc w:val="center"/>
        <w:rPr>
          <w:rFonts w:ascii="Times New Roman" w:hAnsi="Times New Roman" w:cs="Times New Roman"/>
          <w:b/>
          <w:sz w:val="40"/>
          <w:szCs w:val="40"/>
        </w:rPr>
      </w:pPr>
      <w:r>
        <w:rPr>
          <w:rFonts w:ascii="Times New Roman" w:hAnsi="Times New Roman" w:cs="Times New Roman"/>
          <w:b/>
          <w:noProof/>
          <w:sz w:val="40"/>
          <w:szCs w:val="40"/>
          <w:lang w:eastAsia="it-IT"/>
        </w:rPr>
        <w:lastRenderedPageBreak/>
        <w:drawing>
          <wp:inline distT="0" distB="0" distL="0" distR="0" wp14:anchorId="2127A0D1" wp14:editId="08514600">
            <wp:extent cx="6049645" cy="8335645"/>
            <wp:effectExtent l="0" t="0" r="8255"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9645" cy="8335645"/>
                    </a:xfrm>
                    <a:prstGeom prst="rect">
                      <a:avLst/>
                    </a:prstGeom>
                    <a:noFill/>
                    <a:ln>
                      <a:noFill/>
                    </a:ln>
                  </pic:spPr>
                </pic:pic>
              </a:graphicData>
            </a:graphic>
          </wp:inline>
        </w:drawing>
      </w:r>
      <w:r w:rsidR="007A36BA">
        <w:rPr>
          <w:rFonts w:ascii="Times New Roman" w:hAnsi="Times New Roman" w:cs="Times New Roman"/>
          <w:b/>
          <w:sz w:val="40"/>
          <w:szCs w:val="40"/>
        </w:rPr>
        <w:br w:type="page"/>
      </w:r>
    </w:p>
    <w:p w:rsidR="00A30330" w:rsidRPr="00B35993" w:rsidRDefault="005912FB" w:rsidP="001D3AF0">
      <w:pPr>
        <w:rPr>
          <w:rFonts w:ascii="Times New Roman" w:hAnsi="Times New Roman" w:cs="Times New Roman"/>
          <w:b/>
          <w:sz w:val="40"/>
          <w:szCs w:val="40"/>
        </w:rPr>
      </w:pPr>
      <w:r>
        <w:rPr>
          <w:rFonts w:ascii="Times New Roman" w:hAnsi="Times New Roman" w:cs="Times New Roman"/>
          <w:b/>
          <w:noProof/>
          <w:sz w:val="40"/>
          <w:szCs w:val="40"/>
          <w:lang w:eastAsia="it-IT"/>
        </w:rPr>
        <w:lastRenderedPageBreak/>
        <w:drawing>
          <wp:inline distT="0" distB="0" distL="0" distR="0" wp14:anchorId="7F2A0334" wp14:editId="09C9D50F">
            <wp:extent cx="6120130" cy="8586396"/>
            <wp:effectExtent l="0" t="0" r="0" b="57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8586396"/>
                    </a:xfrm>
                    <a:prstGeom prst="rect">
                      <a:avLst/>
                    </a:prstGeom>
                    <a:noFill/>
                    <a:ln>
                      <a:noFill/>
                    </a:ln>
                  </pic:spPr>
                </pic:pic>
              </a:graphicData>
            </a:graphic>
          </wp:inline>
        </w:drawing>
      </w:r>
    </w:p>
    <w:sectPr w:rsidR="00A30330" w:rsidRPr="00B3599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D5AC2"/>
    <w:multiLevelType w:val="hybridMultilevel"/>
    <w:tmpl w:val="1BD62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CB76CD7"/>
    <w:multiLevelType w:val="hybridMultilevel"/>
    <w:tmpl w:val="84D8C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58"/>
    <w:rsid w:val="000B2AE7"/>
    <w:rsid w:val="0011349B"/>
    <w:rsid w:val="00125234"/>
    <w:rsid w:val="001452EF"/>
    <w:rsid w:val="00167C04"/>
    <w:rsid w:val="00187602"/>
    <w:rsid w:val="001A15FC"/>
    <w:rsid w:val="001A3B8D"/>
    <w:rsid w:val="001D3AF0"/>
    <w:rsid w:val="001D4B7A"/>
    <w:rsid w:val="001E2478"/>
    <w:rsid w:val="00214F2E"/>
    <w:rsid w:val="00242657"/>
    <w:rsid w:val="002A54F3"/>
    <w:rsid w:val="002B0C9B"/>
    <w:rsid w:val="002B6417"/>
    <w:rsid w:val="00326618"/>
    <w:rsid w:val="00371D95"/>
    <w:rsid w:val="00385F2C"/>
    <w:rsid w:val="003944CB"/>
    <w:rsid w:val="003C1E84"/>
    <w:rsid w:val="003C4D45"/>
    <w:rsid w:val="00404E69"/>
    <w:rsid w:val="0040561B"/>
    <w:rsid w:val="00421499"/>
    <w:rsid w:val="00435D62"/>
    <w:rsid w:val="0043659E"/>
    <w:rsid w:val="00465A1D"/>
    <w:rsid w:val="00466BE1"/>
    <w:rsid w:val="00483FF3"/>
    <w:rsid w:val="004955BC"/>
    <w:rsid w:val="004B6C57"/>
    <w:rsid w:val="004D1A3B"/>
    <w:rsid w:val="00536147"/>
    <w:rsid w:val="00574150"/>
    <w:rsid w:val="005912FB"/>
    <w:rsid w:val="005A4192"/>
    <w:rsid w:val="005A5F41"/>
    <w:rsid w:val="005A732D"/>
    <w:rsid w:val="005C2A9C"/>
    <w:rsid w:val="005D23A6"/>
    <w:rsid w:val="005E04CB"/>
    <w:rsid w:val="005E20B7"/>
    <w:rsid w:val="005F24D6"/>
    <w:rsid w:val="00611D24"/>
    <w:rsid w:val="00630EE9"/>
    <w:rsid w:val="00635D67"/>
    <w:rsid w:val="00644CDA"/>
    <w:rsid w:val="00652E84"/>
    <w:rsid w:val="006C09EA"/>
    <w:rsid w:val="007253FE"/>
    <w:rsid w:val="007622AB"/>
    <w:rsid w:val="007672D9"/>
    <w:rsid w:val="007A36BA"/>
    <w:rsid w:val="007A7F96"/>
    <w:rsid w:val="007C74D6"/>
    <w:rsid w:val="007D45A0"/>
    <w:rsid w:val="007F460A"/>
    <w:rsid w:val="008306A5"/>
    <w:rsid w:val="00830B58"/>
    <w:rsid w:val="00880F3D"/>
    <w:rsid w:val="00883447"/>
    <w:rsid w:val="008A100F"/>
    <w:rsid w:val="008A7A8C"/>
    <w:rsid w:val="008C1C24"/>
    <w:rsid w:val="008C6121"/>
    <w:rsid w:val="00933E6D"/>
    <w:rsid w:val="00953058"/>
    <w:rsid w:val="00957905"/>
    <w:rsid w:val="00966AF1"/>
    <w:rsid w:val="00967536"/>
    <w:rsid w:val="009B5D3A"/>
    <w:rsid w:val="009D3C25"/>
    <w:rsid w:val="00A171DF"/>
    <w:rsid w:val="00A30330"/>
    <w:rsid w:val="00A41E0C"/>
    <w:rsid w:val="00A53A05"/>
    <w:rsid w:val="00A74BAF"/>
    <w:rsid w:val="00AC3389"/>
    <w:rsid w:val="00AC5CF2"/>
    <w:rsid w:val="00B17736"/>
    <w:rsid w:val="00B344BC"/>
    <w:rsid w:val="00B35993"/>
    <w:rsid w:val="00B46612"/>
    <w:rsid w:val="00B54791"/>
    <w:rsid w:val="00B60700"/>
    <w:rsid w:val="00B879F1"/>
    <w:rsid w:val="00BE2260"/>
    <w:rsid w:val="00C03697"/>
    <w:rsid w:val="00C20381"/>
    <w:rsid w:val="00C22BEF"/>
    <w:rsid w:val="00C253D6"/>
    <w:rsid w:val="00C42322"/>
    <w:rsid w:val="00C55B67"/>
    <w:rsid w:val="00C6161B"/>
    <w:rsid w:val="00C7158C"/>
    <w:rsid w:val="00C80B33"/>
    <w:rsid w:val="00C868F2"/>
    <w:rsid w:val="00C86C8B"/>
    <w:rsid w:val="00CD06F8"/>
    <w:rsid w:val="00CD0DEC"/>
    <w:rsid w:val="00CE32DF"/>
    <w:rsid w:val="00CF4DCE"/>
    <w:rsid w:val="00D00C97"/>
    <w:rsid w:val="00D04E48"/>
    <w:rsid w:val="00D21852"/>
    <w:rsid w:val="00D34064"/>
    <w:rsid w:val="00D60547"/>
    <w:rsid w:val="00D70E69"/>
    <w:rsid w:val="00D86760"/>
    <w:rsid w:val="00D86990"/>
    <w:rsid w:val="00D91B56"/>
    <w:rsid w:val="00DA50EB"/>
    <w:rsid w:val="00DC2750"/>
    <w:rsid w:val="00DD168B"/>
    <w:rsid w:val="00DD552B"/>
    <w:rsid w:val="00DE6228"/>
    <w:rsid w:val="00E46ECB"/>
    <w:rsid w:val="00E54BAE"/>
    <w:rsid w:val="00EA03D8"/>
    <w:rsid w:val="00EA412D"/>
    <w:rsid w:val="00EB676C"/>
    <w:rsid w:val="00ED5305"/>
    <w:rsid w:val="00EE38C4"/>
    <w:rsid w:val="00FA2679"/>
    <w:rsid w:val="00FC7D42"/>
    <w:rsid w:val="00FE6A77"/>
    <w:rsid w:val="00FF6E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5305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53058"/>
    <w:rPr>
      <w:rFonts w:ascii="Tahoma" w:hAnsi="Tahoma" w:cs="Tahoma"/>
      <w:sz w:val="16"/>
      <w:szCs w:val="16"/>
    </w:rPr>
  </w:style>
  <w:style w:type="paragraph" w:styleId="Paragrafoelenco">
    <w:name w:val="List Paragraph"/>
    <w:basedOn w:val="Normale"/>
    <w:uiPriority w:val="34"/>
    <w:qFormat/>
    <w:rsid w:val="00880F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5305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53058"/>
    <w:rPr>
      <w:rFonts w:ascii="Tahoma" w:hAnsi="Tahoma" w:cs="Tahoma"/>
      <w:sz w:val="16"/>
      <w:szCs w:val="16"/>
    </w:rPr>
  </w:style>
  <w:style w:type="paragraph" w:styleId="Paragrafoelenco">
    <w:name w:val="List Paragraph"/>
    <w:basedOn w:val="Normale"/>
    <w:uiPriority w:val="34"/>
    <w:qFormat/>
    <w:rsid w:val="00880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631400">
      <w:bodyDiv w:val="1"/>
      <w:marLeft w:val="0"/>
      <w:marRight w:val="0"/>
      <w:marTop w:val="0"/>
      <w:marBottom w:val="0"/>
      <w:divBdr>
        <w:top w:val="none" w:sz="0" w:space="0" w:color="auto"/>
        <w:left w:val="none" w:sz="0" w:space="0" w:color="auto"/>
        <w:bottom w:val="none" w:sz="0" w:space="0" w:color="auto"/>
        <w:right w:val="none" w:sz="0" w:space="0" w:color="auto"/>
      </w:divBdr>
    </w:div>
    <w:div w:id="912158046">
      <w:bodyDiv w:val="1"/>
      <w:marLeft w:val="0"/>
      <w:marRight w:val="0"/>
      <w:marTop w:val="0"/>
      <w:marBottom w:val="0"/>
      <w:divBdr>
        <w:top w:val="none" w:sz="0" w:space="0" w:color="auto"/>
        <w:left w:val="none" w:sz="0" w:space="0" w:color="auto"/>
        <w:bottom w:val="none" w:sz="0" w:space="0" w:color="auto"/>
        <w:right w:val="none" w:sz="0" w:space="0" w:color="auto"/>
      </w:divBdr>
    </w:div>
    <w:div w:id="2068448839">
      <w:bodyDiv w:val="1"/>
      <w:marLeft w:val="0"/>
      <w:marRight w:val="0"/>
      <w:marTop w:val="0"/>
      <w:marBottom w:val="0"/>
      <w:divBdr>
        <w:top w:val="none" w:sz="0" w:space="0" w:color="auto"/>
        <w:left w:val="none" w:sz="0" w:space="0" w:color="auto"/>
        <w:bottom w:val="none" w:sz="0" w:space="0" w:color="auto"/>
        <w:right w:val="none" w:sz="0" w:space="0" w:color="auto"/>
      </w:divBdr>
    </w:div>
    <w:div w:id="210888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15.xml"/><Relationship Id="rId34" Type="http://schemas.openxmlformats.org/officeDocument/2006/relationships/image" Target="media/image1.emf"/><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image" Target="media/image3.emf"/><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0.250.15.247\prenatale\Produttivit&#224;%20Loreto\tabella%20riassuntiva.xls"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6.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50.15.247\prenatale\Produttivit&#224;%20Loreto\Prestazioni%20Loreto%202018.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50.15.247\prenatale\Produttivit&#224;%20Loreto\tabella%20riassuntiv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Totale Pazienti 1675</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dPt>
          <c:cat>
            <c:strRef>
              <c:f>'[Prestazioni Loreto 2018.xls]TOTALE 1718'!$R$60:$R$61</c:f>
              <c:strCache>
                <c:ptCount val="2"/>
                <c:pt idx="0">
                  <c:v>AA 2017</c:v>
                </c:pt>
                <c:pt idx="1">
                  <c:v>AA 2018</c:v>
                </c:pt>
              </c:strCache>
            </c:strRef>
          </c:cat>
          <c:val>
            <c:numRef>
              <c:f>'[Prestazioni Loreto 2018.xls]TOTALE 1718'!$S$60:$S$61</c:f>
              <c:numCache>
                <c:formatCode>General</c:formatCode>
                <c:ptCount val="2"/>
                <c:pt idx="0">
                  <c:v>649</c:v>
                </c:pt>
                <c:pt idx="1">
                  <c:v>1026</c:v>
                </c:pt>
              </c:numCache>
            </c:numRef>
          </c:val>
        </c:ser>
        <c:dLbls>
          <c:showLegendKey val="0"/>
          <c:showVal val="0"/>
          <c:showCatName val="0"/>
          <c:showSerName val="0"/>
          <c:showPercent val="0"/>
          <c:showBubbleSize val="0"/>
        </c:dLbls>
        <c:gapWidth val="150"/>
        <c:shape val="box"/>
        <c:axId val="149865600"/>
        <c:axId val="149867136"/>
        <c:axId val="0"/>
      </c:bar3DChart>
      <c:catAx>
        <c:axId val="14986560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49867136"/>
        <c:crosses val="autoZero"/>
        <c:auto val="1"/>
        <c:lblAlgn val="ctr"/>
        <c:lblOffset val="100"/>
        <c:noMultiLvlLbl val="0"/>
      </c:catAx>
      <c:valAx>
        <c:axId val="149867136"/>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49865600"/>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it-IT"/>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Prestazioni Totali 2018    n°</a:t>
            </a:r>
            <a:r>
              <a:rPr lang="it-IT" baseline="0"/>
              <a:t> 6873</a:t>
            </a:r>
            <a:endParaRPr lang="it-IT"/>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'[Prestazioni Loreto 2018.xls]Tabella Riassuntiva 2018'!$C$34:$N$34</c:f>
              <c:numCache>
                <c:formatCode>General</c:formatCode>
                <c:ptCount val="12"/>
                <c:pt idx="0">
                  <c:v>551</c:v>
                </c:pt>
                <c:pt idx="1">
                  <c:v>461</c:v>
                </c:pt>
                <c:pt idx="2">
                  <c:v>541</c:v>
                </c:pt>
                <c:pt idx="3">
                  <c:v>428</c:v>
                </c:pt>
                <c:pt idx="4">
                  <c:v>598</c:v>
                </c:pt>
                <c:pt idx="5">
                  <c:v>651</c:v>
                </c:pt>
                <c:pt idx="6">
                  <c:v>631</c:v>
                </c:pt>
                <c:pt idx="7">
                  <c:v>651</c:v>
                </c:pt>
                <c:pt idx="8">
                  <c:v>488</c:v>
                </c:pt>
                <c:pt idx="9">
                  <c:v>730</c:v>
                </c:pt>
                <c:pt idx="10">
                  <c:v>603</c:v>
                </c:pt>
                <c:pt idx="11">
                  <c:v>540</c:v>
                </c:pt>
              </c:numCache>
            </c:numRef>
          </c:val>
        </c:ser>
        <c:dLbls>
          <c:showLegendKey val="0"/>
          <c:showVal val="0"/>
          <c:showCatName val="0"/>
          <c:showSerName val="0"/>
          <c:showPercent val="0"/>
          <c:showBubbleSize val="0"/>
        </c:dLbls>
        <c:gapWidth val="150"/>
        <c:shape val="box"/>
        <c:axId val="157645056"/>
        <c:axId val="157650944"/>
        <c:axId val="0"/>
      </c:bar3DChart>
      <c:catAx>
        <c:axId val="15764505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650944"/>
        <c:crosses val="autoZero"/>
        <c:auto val="1"/>
        <c:lblAlgn val="ctr"/>
        <c:lblOffset val="100"/>
        <c:noMultiLvlLbl val="0"/>
      </c:catAx>
      <c:valAx>
        <c:axId val="157650944"/>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64505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Colloqui Totali 3015</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tx>
            <c:v>C. T.</c:v>
          </c:tx>
          <c:invertIfNegative val="0"/>
          <c:dPt>
            <c:idx val="0"/>
            <c:invertIfNegative val="0"/>
            <c:bubble3D val="0"/>
          </c:dPt>
          <c:dPt>
            <c:idx val="1"/>
            <c:invertIfNegative val="0"/>
            <c:bubble3D val="0"/>
          </c:dPt>
          <c:val>
            <c:numRef>
              <c:f>'[Prestazioni Loreto 2018.xls]TOTALE 1718'!$B$37:$C$37</c:f>
              <c:numCache>
                <c:formatCode>General</c:formatCode>
                <c:ptCount val="2"/>
                <c:pt idx="0">
                  <c:v>1112</c:v>
                </c:pt>
                <c:pt idx="1">
                  <c:v>1903</c:v>
                </c:pt>
              </c:numCache>
            </c:numRef>
          </c:val>
        </c:ser>
        <c:dLbls>
          <c:showLegendKey val="0"/>
          <c:showVal val="0"/>
          <c:showCatName val="0"/>
          <c:showSerName val="0"/>
          <c:showPercent val="0"/>
          <c:showBubbleSize val="0"/>
        </c:dLbls>
        <c:gapWidth val="150"/>
        <c:shape val="box"/>
        <c:axId val="157241344"/>
        <c:axId val="157242880"/>
        <c:axId val="0"/>
      </c:bar3DChart>
      <c:catAx>
        <c:axId val="15724134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242880"/>
        <c:crosses val="autoZero"/>
        <c:auto val="1"/>
        <c:lblAlgn val="ctr"/>
        <c:lblOffset val="100"/>
        <c:noMultiLvlLbl val="0"/>
      </c:catAx>
      <c:valAx>
        <c:axId val="157242880"/>
        <c:scaling>
          <c:orientation val="minMax"/>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it-IT"/>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24134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it-IT"/>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800" b="1" i="0" u="none" strike="noStrike" baseline="0">
                <a:solidFill>
                  <a:srgbClr val="000000"/>
                </a:solidFill>
                <a:latin typeface="Calibri"/>
                <a:ea typeface="Calibri"/>
                <a:cs typeface="Calibri"/>
              </a:defRPr>
            </a:pPr>
            <a:r>
              <a:rPr lang="it-IT"/>
              <a:t>Colloqui</a:t>
            </a:r>
            <a:r>
              <a:rPr lang="it-IT" baseline="0"/>
              <a:t> Totale</a:t>
            </a:r>
            <a:r>
              <a:rPr lang="it-IT"/>
              <a:t> 2017   n° 1112</a:t>
            </a:r>
          </a:p>
        </c:rich>
      </c:tx>
      <c:layout>
        <c:manualLayout>
          <c:xMode val="edge"/>
          <c:yMode val="edge"/>
          <c:x val="0.27310553470535803"/>
          <c:y val="2.9949288013206492E-2"/>
        </c:manualLayout>
      </c:layout>
      <c:overlay val="0"/>
      <c:spPr>
        <a:noFill/>
        <a:ln w="25400">
          <a:noFill/>
        </a:ln>
      </c:spPr>
    </c:title>
    <c:autoTitleDeleted val="0"/>
    <c:view3D>
      <c:rotX val="15"/>
      <c:rotY val="20"/>
      <c:depthPercent val="100"/>
      <c:rAngAx val="1"/>
    </c:view3D>
    <c:floor>
      <c:thickness val="0"/>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9.2421525189829656E-2"/>
          <c:y val="0.44067869550896371"/>
          <c:w val="0.87615605879958514"/>
          <c:h val="0.44067869550896371"/>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'[tabella riassuntiva.xls]2017'!$C$37:$N$37</c:f>
              <c:numCache>
                <c:formatCode>General</c:formatCode>
                <c:ptCount val="12"/>
                <c:pt idx="0">
                  <c:v>0</c:v>
                </c:pt>
                <c:pt idx="1">
                  <c:v>23</c:v>
                </c:pt>
                <c:pt idx="2">
                  <c:v>30</c:v>
                </c:pt>
                <c:pt idx="3">
                  <c:v>57</c:v>
                </c:pt>
                <c:pt idx="4">
                  <c:v>116</c:v>
                </c:pt>
                <c:pt idx="5">
                  <c:v>108</c:v>
                </c:pt>
                <c:pt idx="6">
                  <c:v>120</c:v>
                </c:pt>
                <c:pt idx="7">
                  <c:v>131</c:v>
                </c:pt>
                <c:pt idx="8">
                  <c:v>129</c:v>
                </c:pt>
                <c:pt idx="9">
                  <c:v>135</c:v>
                </c:pt>
                <c:pt idx="10">
                  <c:v>141</c:v>
                </c:pt>
                <c:pt idx="11">
                  <c:v>122</c:v>
                </c:pt>
              </c:numCache>
            </c:numRef>
          </c:val>
        </c:ser>
        <c:dLbls>
          <c:showLegendKey val="0"/>
          <c:showVal val="0"/>
          <c:showCatName val="0"/>
          <c:showSerName val="0"/>
          <c:showPercent val="0"/>
          <c:showBubbleSize val="0"/>
        </c:dLbls>
        <c:gapWidth val="150"/>
        <c:shape val="box"/>
        <c:axId val="157257728"/>
        <c:axId val="157259264"/>
        <c:axId val="0"/>
      </c:bar3DChart>
      <c:catAx>
        <c:axId val="157257728"/>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259264"/>
        <c:crossesAt val="0"/>
        <c:auto val="1"/>
        <c:lblAlgn val="ctr"/>
        <c:lblOffset val="100"/>
        <c:tickLblSkip val="1"/>
        <c:tickMarkSkip val="1"/>
        <c:noMultiLvlLbl val="0"/>
      </c:catAx>
      <c:valAx>
        <c:axId val="157259264"/>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257728"/>
        <c:crossesAt val="1"/>
        <c:crossBetween val="between"/>
      </c:valAx>
    </c:plotArea>
    <c:plotVisOnly val="1"/>
    <c:dispBlanksAs val="gap"/>
    <c:showDLblsOverMax val="0"/>
  </c:chart>
  <c:spPr>
    <a:solidFill>
      <a:srgbClr val="FFFFFF"/>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it-I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Colloqui Totale 2018    n° 1903</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'[Prestazioni Loreto 2018.xls]Tabella Riassuntiva 2018'!$C$37:$N$37</c:f>
              <c:numCache>
                <c:formatCode>General</c:formatCode>
                <c:ptCount val="12"/>
                <c:pt idx="0">
                  <c:v>135</c:v>
                </c:pt>
                <c:pt idx="1">
                  <c:v>133</c:v>
                </c:pt>
                <c:pt idx="2">
                  <c:v>149</c:v>
                </c:pt>
                <c:pt idx="3">
                  <c:v>118</c:v>
                </c:pt>
                <c:pt idx="4">
                  <c:v>173</c:v>
                </c:pt>
                <c:pt idx="5">
                  <c:v>183</c:v>
                </c:pt>
                <c:pt idx="6">
                  <c:v>165</c:v>
                </c:pt>
                <c:pt idx="7">
                  <c:v>171</c:v>
                </c:pt>
                <c:pt idx="8">
                  <c:v>141</c:v>
                </c:pt>
                <c:pt idx="9">
                  <c:v>205</c:v>
                </c:pt>
                <c:pt idx="10">
                  <c:v>165</c:v>
                </c:pt>
                <c:pt idx="11">
                  <c:v>165</c:v>
                </c:pt>
              </c:numCache>
            </c:numRef>
          </c:val>
        </c:ser>
        <c:dLbls>
          <c:showLegendKey val="0"/>
          <c:showVal val="0"/>
          <c:showCatName val="0"/>
          <c:showSerName val="0"/>
          <c:showPercent val="0"/>
          <c:showBubbleSize val="0"/>
        </c:dLbls>
        <c:gapWidth val="150"/>
        <c:shape val="box"/>
        <c:axId val="157304704"/>
        <c:axId val="157306240"/>
        <c:axId val="0"/>
      </c:bar3DChart>
      <c:catAx>
        <c:axId val="15730470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306240"/>
        <c:crosses val="autoZero"/>
        <c:auto val="1"/>
        <c:lblAlgn val="ctr"/>
        <c:lblOffset val="100"/>
        <c:noMultiLvlLbl val="0"/>
      </c:catAx>
      <c:valAx>
        <c:axId val="157306240"/>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30470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Ecocardiografie Fetali Totali</a:t>
            </a:r>
            <a:r>
              <a:rPr lang="it-IT" baseline="0"/>
              <a:t> </a:t>
            </a:r>
            <a:r>
              <a:rPr lang="it-IT"/>
              <a:t>1428</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tx>
            <c:v>E. C. F .</c:v>
          </c:tx>
          <c:invertIfNegative val="0"/>
          <c:dPt>
            <c:idx val="0"/>
            <c:invertIfNegative val="0"/>
            <c:bubble3D val="0"/>
          </c:dPt>
          <c:dPt>
            <c:idx val="1"/>
            <c:invertIfNegative val="0"/>
            <c:bubble3D val="0"/>
          </c:dPt>
          <c:val>
            <c:numRef>
              <c:f>'[Prestazioni Loreto 2018.xls]TOTALE 1718'!$B$14:$C$14</c:f>
              <c:numCache>
                <c:formatCode>General</c:formatCode>
                <c:ptCount val="2"/>
                <c:pt idx="0">
                  <c:v>506</c:v>
                </c:pt>
                <c:pt idx="1">
                  <c:v>922</c:v>
                </c:pt>
              </c:numCache>
            </c:numRef>
          </c:val>
        </c:ser>
        <c:dLbls>
          <c:showLegendKey val="0"/>
          <c:showVal val="0"/>
          <c:showCatName val="0"/>
          <c:showSerName val="0"/>
          <c:showPercent val="0"/>
          <c:showBubbleSize val="0"/>
        </c:dLbls>
        <c:gapWidth val="150"/>
        <c:shape val="box"/>
        <c:axId val="157318528"/>
        <c:axId val="157344896"/>
        <c:axId val="0"/>
      </c:bar3DChart>
      <c:catAx>
        <c:axId val="1573185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344896"/>
        <c:crosses val="autoZero"/>
        <c:auto val="1"/>
        <c:lblAlgn val="ctr"/>
        <c:lblOffset val="100"/>
        <c:noMultiLvlLbl val="0"/>
      </c:catAx>
      <c:valAx>
        <c:axId val="157344896"/>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31852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it-IT"/>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it-IT"/>
              <a:t>Ecocardiografie Totale 2017</a:t>
            </a:r>
            <a:r>
              <a:rPr lang="it-IT" baseline="0"/>
              <a:t>     n°</a:t>
            </a:r>
            <a:r>
              <a:rPr lang="it-IT"/>
              <a:t>506</a:t>
            </a:r>
          </a:p>
        </c:rich>
      </c:tx>
      <c:layout>
        <c:manualLayout>
          <c:xMode val="edge"/>
          <c:yMode val="edge"/>
          <c:x val="0.25875479201463453"/>
          <c:y val="5.2117132417271374E-2"/>
        </c:manualLayout>
      </c:layout>
      <c:overlay val="0"/>
      <c:spPr>
        <a:noFill/>
        <a:ln w="25400">
          <a:noFill/>
        </a:ln>
      </c:spPr>
    </c:title>
    <c:autoTitleDeleted val="0"/>
    <c:view3D>
      <c:rotX val="15"/>
      <c:rotY val="20"/>
      <c:depthPercent val="100"/>
      <c:rAngAx val="1"/>
    </c:view3D>
    <c:floor>
      <c:thickness val="0"/>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9.2592760041883757E-2"/>
          <c:y val="0.42996811057122636"/>
          <c:w val="0.87592750999622038"/>
          <c:h val="0.45602678393917945"/>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'[tabella riassuntiva.xls]2017'!$C$14:$N$14</c:f>
              <c:numCache>
                <c:formatCode>General</c:formatCode>
                <c:ptCount val="12"/>
                <c:pt idx="0">
                  <c:v>0</c:v>
                </c:pt>
                <c:pt idx="1">
                  <c:v>6</c:v>
                </c:pt>
                <c:pt idx="2">
                  <c:v>14</c:v>
                </c:pt>
                <c:pt idx="3">
                  <c:v>26</c:v>
                </c:pt>
                <c:pt idx="4">
                  <c:v>39</c:v>
                </c:pt>
                <c:pt idx="5">
                  <c:v>48</c:v>
                </c:pt>
                <c:pt idx="6">
                  <c:v>76</c:v>
                </c:pt>
                <c:pt idx="7">
                  <c:v>80</c:v>
                </c:pt>
                <c:pt idx="8">
                  <c:v>59</c:v>
                </c:pt>
                <c:pt idx="9">
                  <c:v>54</c:v>
                </c:pt>
                <c:pt idx="10">
                  <c:v>56</c:v>
                </c:pt>
                <c:pt idx="11">
                  <c:v>48</c:v>
                </c:pt>
              </c:numCache>
            </c:numRef>
          </c:val>
        </c:ser>
        <c:dLbls>
          <c:showLegendKey val="0"/>
          <c:showVal val="0"/>
          <c:showCatName val="0"/>
          <c:showSerName val="0"/>
          <c:showPercent val="0"/>
          <c:showBubbleSize val="0"/>
        </c:dLbls>
        <c:gapWidth val="150"/>
        <c:shape val="box"/>
        <c:axId val="157420544"/>
        <c:axId val="157451008"/>
        <c:axId val="0"/>
      </c:bar3DChart>
      <c:catAx>
        <c:axId val="157420544"/>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451008"/>
        <c:crossesAt val="0"/>
        <c:auto val="1"/>
        <c:lblAlgn val="ctr"/>
        <c:lblOffset val="100"/>
        <c:tickLblSkip val="1"/>
        <c:tickMarkSkip val="1"/>
        <c:noMultiLvlLbl val="0"/>
      </c:catAx>
      <c:valAx>
        <c:axId val="157451008"/>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420544"/>
        <c:crossesAt val="1"/>
        <c:crossBetween val="between"/>
      </c:valAx>
    </c:plotArea>
    <c:plotVisOnly val="1"/>
    <c:dispBlanksAs val="gap"/>
    <c:showDLblsOverMax val="0"/>
  </c:chart>
  <c:spPr>
    <a:solidFill>
      <a:srgbClr val="FFFFFF"/>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it-I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Ecocardiografie Totale 2018      n°922</a:t>
            </a:r>
          </a:p>
        </c:rich>
      </c:tx>
      <c:layout>
        <c:manualLayout>
          <c:xMode val="edge"/>
          <c:yMode val="edge"/>
          <c:x val="0.24187404749626676"/>
          <c:y val="2.7254144901203724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'[Prestazioni Loreto 2018.xls]Tabella Riassuntiva 2018'!$C$14:$N$14</c:f>
              <c:numCache>
                <c:formatCode>General</c:formatCode>
                <c:ptCount val="12"/>
                <c:pt idx="0">
                  <c:v>61</c:v>
                </c:pt>
                <c:pt idx="1">
                  <c:v>50</c:v>
                </c:pt>
                <c:pt idx="2">
                  <c:v>66</c:v>
                </c:pt>
                <c:pt idx="3">
                  <c:v>66</c:v>
                </c:pt>
                <c:pt idx="4">
                  <c:v>85</c:v>
                </c:pt>
                <c:pt idx="5">
                  <c:v>86</c:v>
                </c:pt>
                <c:pt idx="6">
                  <c:v>90</c:v>
                </c:pt>
                <c:pt idx="7">
                  <c:v>90</c:v>
                </c:pt>
                <c:pt idx="8">
                  <c:v>55</c:v>
                </c:pt>
                <c:pt idx="9">
                  <c:v>116</c:v>
                </c:pt>
                <c:pt idx="10">
                  <c:v>88</c:v>
                </c:pt>
                <c:pt idx="11">
                  <c:v>69</c:v>
                </c:pt>
              </c:numCache>
            </c:numRef>
          </c:val>
        </c:ser>
        <c:dLbls>
          <c:showLegendKey val="0"/>
          <c:showVal val="0"/>
          <c:showCatName val="0"/>
          <c:showSerName val="0"/>
          <c:showPercent val="0"/>
          <c:showBubbleSize val="0"/>
        </c:dLbls>
        <c:gapWidth val="150"/>
        <c:shape val="box"/>
        <c:axId val="157480064"/>
        <c:axId val="157481600"/>
        <c:axId val="0"/>
      </c:bar3DChart>
      <c:catAx>
        <c:axId val="15748006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481600"/>
        <c:crosses val="autoZero"/>
        <c:auto val="1"/>
        <c:lblAlgn val="ctr"/>
        <c:lblOffset val="100"/>
        <c:noMultiLvlLbl val="0"/>
      </c:catAx>
      <c:valAx>
        <c:axId val="157481600"/>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48006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Esami Invasivi Totali 565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tx>
            <c:v>E.I.T.</c:v>
          </c:tx>
          <c:invertIfNegative val="0"/>
          <c:dPt>
            <c:idx val="0"/>
            <c:invertIfNegative val="0"/>
            <c:bubble3D val="0"/>
          </c:dPt>
          <c:dPt>
            <c:idx val="1"/>
            <c:invertIfNegative val="0"/>
            <c:bubble3D val="0"/>
          </c:dPt>
          <c:val>
            <c:numRef>
              <c:f>'[Prestazioni Loreto 2018.xls]TOTALE 1718'!$B$36:$C$36</c:f>
              <c:numCache>
                <c:formatCode>General</c:formatCode>
                <c:ptCount val="2"/>
                <c:pt idx="0">
                  <c:v>280</c:v>
                </c:pt>
                <c:pt idx="1">
                  <c:v>285</c:v>
                </c:pt>
              </c:numCache>
            </c:numRef>
          </c:val>
        </c:ser>
        <c:dLbls>
          <c:showLegendKey val="0"/>
          <c:showVal val="0"/>
          <c:showCatName val="0"/>
          <c:showSerName val="0"/>
          <c:showPercent val="0"/>
          <c:showBubbleSize val="0"/>
        </c:dLbls>
        <c:gapWidth val="150"/>
        <c:shape val="box"/>
        <c:axId val="157497984"/>
        <c:axId val="157520256"/>
        <c:axId val="0"/>
      </c:bar3DChart>
      <c:catAx>
        <c:axId val="15749798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520256"/>
        <c:crosses val="autoZero"/>
        <c:auto val="1"/>
        <c:lblAlgn val="ctr"/>
        <c:lblOffset val="100"/>
        <c:noMultiLvlLbl val="0"/>
      </c:catAx>
      <c:valAx>
        <c:axId val="157520256"/>
        <c:scaling>
          <c:orientation val="minMax"/>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it-IT"/>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49798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it-IT"/>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it-IT"/>
              <a:t>Esami Invasivi 2017</a:t>
            </a:r>
            <a:r>
              <a:rPr lang="it-IT" baseline="0"/>
              <a:t>   n°</a:t>
            </a:r>
            <a:r>
              <a:rPr lang="it-IT"/>
              <a:t>280</a:t>
            </a:r>
          </a:p>
        </c:rich>
      </c:tx>
      <c:layout>
        <c:manualLayout>
          <c:xMode val="edge"/>
          <c:yMode val="edge"/>
          <c:x val="0.3481745096823527"/>
          <c:y val="5.7245305875227137E-2"/>
        </c:manualLayout>
      </c:layout>
      <c:overlay val="0"/>
      <c:spPr>
        <a:noFill/>
        <a:ln w="25400">
          <a:noFill/>
        </a:ln>
      </c:spPr>
    </c:title>
    <c:autoTitleDeleted val="0"/>
    <c:view3D>
      <c:rotX val="15"/>
      <c:rotY val="20"/>
      <c:depthPercent val="100"/>
      <c:rAngAx val="1"/>
    </c:view3D>
    <c:floor>
      <c:thickness val="0"/>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1428571428571425E-2"/>
          <c:y val="0.42996811057122636"/>
          <c:w val="0.90033222591362128"/>
          <c:h val="0.45602678393917945"/>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'[tabella riassuntiva.xls]2017'!$C$36:$N$36</c:f>
              <c:numCache>
                <c:formatCode>General</c:formatCode>
                <c:ptCount val="12"/>
                <c:pt idx="0">
                  <c:v>0</c:v>
                </c:pt>
                <c:pt idx="1">
                  <c:v>24</c:v>
                </c:pt>
                <c:pt idx="2">
                  <c:v>12</c:v>
                </c:pt>
                <c:pt idx="3">
                  <c:v>15</c:v>
                </c:pt>
                <c:pt idx="4">
                  <c:v>43</c:v>
                </c:pt>
                <c:pt idx="5">
                  <c:v>36</c:v>
                </c:pt>
                <c:pt idx="6">
                  <c:v>16</c:v>
                </c:pt>
                <c:pt idx="7">
                  <c:v>30</c:v>
                </c:pt>
                <c:pt idx="8">
                  <c:v>26</c:v>
                </c:pt>
                <c:pt idx="9">
                  <c:v>35</c:v>
                </c:pt>
                <c:pt idx="10">
                  <c:v>15</c:v>
                </c:pt>
                <c:pt idx="11">
                  <c:v>28</c:v>
                </c:pt>
              </c:numCache>
            </c:numRef>
          </c:val>
        </c:ser>
        <c:dLbls>
          <c:showLegendKey val="0"/>
          <c:showVal val="0"/>
          <c:showCatName val="0"/>
          <c:showSerName val="0"/>
          <c:showPercent val="0"/>
          <c:showBubbleSize val="0"/>
        </c:dLbls>
        <c:gapWidth val="150"/>
        <c:shape val="box"/>
        <c:axId val="157694592"/>
        <c:axId val="157700480"/>
        <c:axId val="0"/>
      </c:bar3DChart>
      <c:catAx>
        <c:axId val="157694592"/>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700480"/>
        <c:crossesAt val="0"/>
        <c:auto val="1"/>
        <c:lblAlgn val="ctr"/>
        <c:lblOffset val="100"/>
        <c:tickLblSkip val="1"/>
        <c:tickMarkSkip val="1"/>
        <c:noMultiLvlLbl val="0"/>
      </c:catAx>
      <c:valAx>
        <c:axId val="157700480"/>
        <c:scaling>
          <c:orientation val="minMax"/>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694592"/>
        <c:crossesAt val="1"/>
        <c:crossBetween val="between"/>
      </c:valAx>
    </c:plotArea>
    <c:plotVisOnly val="1"/>
    <c:dispBlanksAs val="gap"/>
    <c:showDLblsOverMax val="0"/>
  </c:chart>
  <c:spPr>
    <a:solidFill>
      <a:srgbClr val="FFFFFF"/>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it-I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Esami Invasivi Totale 285</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'[Prestazioni Loreto 2018.xls]Tabella Riassuntiva 2018'!$C$36:$N$36</c:f>
              <c:numCache>
                <c:formatCode>General</c:formatCode>
                <c:ptCount val="12"/>
                <c:pt idx="0">
                  <c:v>30</c:v>
                </c:pt>
                <c:pt idx="1">
                  <c:v>20</c:v>
                </c:pt>
                <c:pt idx="2">
                  <c:v>25</c:v>
                </c:pt>
                <c:pt idx="3">
                  <c:v>19</c:v>
                </c:pt>
                <c:pt idx="4">
                  <c:v>23</c:v>
                </c:pt>
                <c:pt idx="5">
                  <c:v>23</c:v>
                </c:pt>
                <c:pt idx="6">
                  <c:v>27</c:v>
                </c:pt>
                <c:pt idx="7">
                  <c:v>27</c:v>
                </c:pt>
                <c:pt idx="8">
                  <c:v>22</c:v>
                </c:pt>
                <c:pt idx="9">
                  <c:v>27</c:v>
                </c:pt>
                <c:pt idx="10">
                  <c:v>23</c:v>
                </c:pt>
                <c:pt idx="11">
                  <c:v>19</c:v>
                </c:pt>
              </c:numCache>
            </c:numRef>
          </c:val>
        </c:ser>
        <c:dLbls>
          <c:showLegendKey val="0"/>
          <c:showVal val="0"/>
          <c:showCatName val="0"/>
          <c:showSerName val="0"/>
          <c:showPercent val="0"/>
          <c:showBubbleSize val="0"/>
        </c:dLbls>
        <c:gapWidth val="150"/>
        <c:shape val="box"/>
        <c:axId val="157733248"/>
        <c:axId val="157734784"/>
        <c:axId val="0"/>
      </c:bar3DChart>
      <c:catAx>
        <c:axId val="15773324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734784"/>
        <c:crosses val="autoZero"/>
        <c:auto val="1"/>
        <c:lblAlgn val="ctr"/>
        <c:lblOffset val="100"/>
        <c:noMultiLvlLbl val="0"/>
      </c:catAx>
      <c:valAx>
        <c:axId val="157734784"/>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73324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Totale</a:t>
            </a:r>
            <a:r>
              <a:rPr lang="it-IT" baseline="0"/>
              <a:t> </a:t>
            </a:r>
            <a:r>
              <a:rPr lang="it-IT"/>
              <a:t>Pazienti Fuori Regione 166</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Pt>
            <c:idx val="0"/>
            <c:invertIfNegative val="0"/>
            <c:bubble3D val="0"/>
          </c:dPt>
          <c:dPt>
            <c:idx val="1"/>
            <c:invertIfNegative val="0"/>
            <c:bubble3D val="0"/>
          </c:dPt>
          <c:val>
            <c:numRef>
              <c:f>'[Prestazioni Loreto 2018.xls]Fuori Regione'!$K$2:$L$2</c:f>
              <c:numCache>
                <c:formatCode>General</c:formatCode>
                <c:ptCount val="2"/>
                <c:pt idx="0">
                  <c:v>62</c:v>
                </c:pt>
                <c:pt idx="1">
                  <c:v>104</c:v>
                </c:pt>
              </c:numCache>
            </c:numRef>
          </c:val>
        </c:ser>
        <c:dLbls>
          <c:showLegendKey val="0"/>
          <c:showVal val="0"/>
          <c:showCatName val="0"/>
          <c:showSerName val="0"/>
          <c:showPercent val="0"/>
          <c:showBubbleSize val="0"/>
        </c:dLbls>
        <c:gapWidth val="150"/>
        <c:shape val="box"/>
        <c:axId val="154018176"/>
        <c:axId val="154019712"/>
        <c:axId val="0"/>
      </c:bar3DChart>
      <c:catAx>
        <c:axId val="15401817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4019712"/>
        <c:crosses val="autoZero"/>
        <c:auto val="1"/>
        <c:lblAlgn val="ctr"/>
        <c:lblOffset val="100"/>
        <c:noMultiLvlLbl val="0"/>
      </c:catAx>
      <c:valAx>
        <c:axId val="154019712"/>
        <c:scaling>
          <c:orientation val="minMax"/>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it-IT"/>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4018176"/>
        <c:crosses val="autoZero"/>
        <c:crossBetween val="between"/>
      </c:valAx>
      <c:dTable>
        <c:showHorzBorder val="1"/>
        <c:showVertBorder val="1"/>
        <c:showOutline val="1"/>
        <c:showKeys val="1"/>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sz="1600"/>
              <a:t>Villocentesi 2017  </a:t>
            </a:r>
            <a:r>
              <a:rPr lang="it-IT" sz="1600" baseline="0"/>
              <a:t>n° </a:t>
            </a:r>
            <a:r>
              <a:rPr lang="it-IT" sz="1600"/>
              <a:t>196</a:t>
            </a:r>
          </a:p>
        </c:rich>
      </c:tx>
      <c:layout>
        <c:manualLayout>
          <c:xMode val="edge"/>
          <c:yMode val="edge"/>
          <c:x val="9.7861956444633608E-2"/>
          <c:y val="2.77113437743359E-2"/>
        </c:manualLayout>
      </c:layout>
      <c:overlay val="0"/>
      <c:spPr>
        <a:noFill/>
        <a:ln w="25400">
          <a:noFill/>
        </a:ln>
      </c:spPr>
    </c:title>
    <c:autoTitleDeleted val="0"/>
    <c:view3D>
      <c:rotX val="15"/>
      <c:rotY val="20"/>
      <c:depthPercent val="100"/>
      <c:rAngAx val="1"/>
    </c:view3D>
    <c:floor>
      <c:thickness val="0"/>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8754719613380722E-2"/>
          <c:y val="0.41304410460152702"/>
          <c:w val="0.89011148214193092"/>
          <c:h val="0.47826159480176811"/>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'[tabella riassuntiva.xls]2017'!$C$16:$N$16</c:f>
              <c:numCache>
                <c:formatCode>General</c:formatCode>
                <c:ptCount val="12"/>
                <c:pt idx="0">
                  <c:v>0</c:v>
                </c:pt>
                <c:pt idx="1">
                  <c:v>17</c:v>
                </c:pt>
                <c:pt idx="2">
                  <c:v>8</c:v>
                </c:pt>
                <c:pt idx="3">
                  <c:v>11</c:v>
                </c:pt>
                <c:pt idx="4">
                  <c:v>33</c:v>
                </c:pt>
                <c:pt idx="5">
                  <c:v>23</c:v>
                </c:pt>
                <c:pt idx="6">
                  <c:v>14</c:v>
                </c:pt>
                <c:pt idx="7">
                  <c:v>18</c:v>
                </c:pt>
                <c:pt idx="8">
                  <c:v>17</c:v>
                </c:pt>
                <c:pt idx="9">
                  <c:v>23</c:v>
                </c:pt>
                <c:pt idx="10">
                  <c:v>12</c:v>
                </c:pt>
                <c:pt idx="11">
                  <c:v>20</c:v>
                </c:pt>
              </c:numCache>
            </c:numRef>
          </c:val>
        </c:ser>
        <c:dLbls>
          <c:showLegendKey val="0"/>
          <c:showVal val="0"/>
          <c:showCatName val="0"/>
          <c:showSerName val="0"/>
          <c:showPercent val="0"/>
          <c:showBubbleSize val="0"/>
        </c:dLbls>
        <c:gapWidth val="150"/>
        <c:shape val="box"/>
        <c:axId val="157812992"/>
        <c:axId val="157839360"/>
        <c:axId val="0"/>
      </c:bar3DChart>
      <c:catAx>
        <c:axId val="157812992"/>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839360"/>
        <c:crossesAt val="0"/>
        <c:auto val="1"/>
        <c:lblAlgn val="ctr"/>
        <c:lblOffset val="100"/>
        <c:tickLblSkip val="1"/>
        <c:tickMarkSkip val="1"/>
        <c:noMultiLvlLbl val="0"/>
      </c:catAx>
      <c:valAx>
        <c:axId val="157839360"/>
        <c:scaling>
          <c:orientation val="minMax"/>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812992"/>
        <c:crossesAt val="1"/>
        <c:crossBetween val="between"/>
      </c:valAx>
    </c:plotArea>
    <c:plotVisOnly val="1"/>
    <c:dispBlanksAs val="gap"/>
    <c:showDLblsOverMax val="0"/>
  </c:chart>
  <c:spPr>
    <a:solidFill>
      <a:srgbClr val="FFFFFF"/>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it-IT" sz="1600"/>
              <a:t>Amniocentesi</a:t>
            </a:r>
            <a:r>
              <a:rPr lang="it-IT" sz="1600" baseline="0"/>
              <a:t> 2017 n° </a:t>
            </a:r>
            <a:r>
              <a:rPr lang="it-IT" sz="1600"/>
              <a:t>84</a:t>
            </a:r>
          </a:p>
        </c:rich>
      </c:tx>
      <c:layout>
        <c:manualLayout>
          <c:xMode val="edge"/>
          <c:yMode val="edge"/>
          <c:x val="0.14448979591836736"/>
          <c:y val="4.7456427497124662E-3"/>
        </c:manualLayout>
      </c:layout>
      <c:overlay val="0"/>
      <c:spPr>
        <a:noFill/>
        <a:ln w="25400">
          <a:noFill/>
        </a:ln>
      </c:spPr>
    </c:title>
    <c:autoTitleDeleted val="0"/>
    <c:view3D>
      <c:rotX val="15"/>
      <c:rotY val="20"/>
      <c:depthPercent val="100"/>
      <c:rAngAx val="1"/>
    </c:view3D>
    <c:floor>
      <c:thickness val="0"/>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0723684210526314E-2"/>
          <c:y val="0.40683291505864694"/>
          <c:w val="0.89967105263157898"/>
          <c:h val="0.48447278434464824"/>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'[tabella riassuntiva.xls]2017'!$C$21:$N$21</c:f>
              <c:numCache>
                <c:formatCode>General</c:formatCode>
                <c:ptCount val="12"/>
                <c:pt idx="0">
                  <c:v>0</c:v>
                </c:pt>
                <c:pt idx="1">
                  <c:v>7</c:v>
                </c:pt>
                <c:pt idx="2">
                  <c:v>4</c:v>
                </c:pt>
                <c:pt idx="3">
                  <c:v>4</c:v>
                </c:pt>
                <c:pt idx="4">
                  <c:v>10</c:v>
                </c:pt>
                <c:pt idx="5">
                  <c:v>13</c:v>
                </c:pt>
                <c:pt idx="6">
                  <c:v>2</c:v>
                </c:pt>
                <c:pt idx="7">
                  <c:v>12</c:v>
                </c:pt>
                <c:pt idx="8">
                  <c:v>9</c:v>
                </c:pt>
                <c:pt idx="9">
                  <c:v>12</c:v>
                </c:pt>
                <c:pt idx="10">
                  <c:v>3</c:v>
                </c:pt>
                <c:pt idx="11">
                  <c:v>8</c:v>
                </c:pt>
              </c:numCache>
            </c:numRef>
          </c:val>
        </c:ser>
        <c:dLbls>
          <c:showLegendKey val="0"/>
          <c:showVal val="0"/>
          <c:showCatName val="0"/>
          <c:showSerName val="0"/>
          <c:showPercent val="0"/>
          <c:showBubbleSize val="0"/>
        </c:dLbls>
        <c:gapWidth val="150"/>
        <c:shape val="box"/>
        <c:axId val="157745536"/>
        <c:axId val="157747072"/>
        <c:axId val="0"/>
      </c:bar3DChart>
      <c:catAx>
        <c:axId val="157745536"/>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747072"/>
        <c:crossesAt val="0"/>
        <c:auto val="1"/>
        <c:lblAlgn val="ctr"/>
        <c:lblOffset val="100"/>
        <c:tickLblSkip val="1"/>
        <c:tickMarkSkip val="1"/>
        <c:noMultiLvlLbl val="0"/>
      </c:catAx>
      <c:valAx>
        <c:axId val="157747072"/>
        <c:scaling>
          <c:orientation val="minMax"/>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7745536"/>
        <c:crossesAt val="1"/>
        <c:crossBetween val="between"/>
      </c:valAx>
    </c:plotArea>
    <c:plotVisOnly val="1"/>
    <c:dispBlanksAs val="gap"/>
    <c:showDLblsOverMax val="0"/>
  </c:chart>
  <c:spPr>
    <a:solidFill>
      <a:srgbClr val="FFFFFF"/>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it-I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sz="1600"/>
              <a:t>Villocentesi 2018</a:t>
            </a:r>
            <a:r>
              <a:rPr lang="it-IT" sz="1600" baseline="0"/>
              <a:t>  n° </a:t>
            </a:r>
            <a:r>
              <a:rPr lang="it-IT" sz="1600"/>
              <a:t>188</a:t>
            </a:r>
          </a:p>
        </c:rich>
      </c:tx>
      <c:layout>
        <c:manualLayout>
          <c:xMode val="edge"/>
          <c:yMode val="edge"/>
          <c:x val="0.11758991274739307"/>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'Tabella Riassuntiva 2018'!$C$16:$N$16</c:f>
              <c:numCache>
                <c:formatCode>General</c:formatCode>
                <c:ptCount val="12"/>
                <c:pt idx="0">
                  <c:v>25</c:v>
                </c:pt>
                <c:pt idx="1">
                  <c:v>12</c:v>
                </c:pt>
                <c:pt idx="2">
                  <c:v>18</c:v>
                </c:pt>
                <c:pt idx="3">
                  <c:v>13</c:v>
                </c:pt>
                <c:pt idx="4">
                  <c:v>11</c:v>
                </c:pt>
                <c:pt idx="5">
                  <c:v>13</c:v>
                </c:pt>
                <c:pt idx="6">
                  <c:v>19</c:v>
                </c:pt>
                <c:pt idx="7">
                  <c:v>16</c:v>
                </c:pt>
                <c:pt idx="8">
                  <c:v>14</c:v>
                </c:pt>
                <c:pt idx="9">
                  <c:v>17</c:v>
                </c:pt>
                <c:pt idx="10">
                  <c:v>15</c:v>
                </c:pt>
                <c:pt idx="11">
                  <c:v>15</c:v>
                </c:pt>
              </c:numCache>
            </c:numRef>
          </c:val>
        </c:ser>
        <c:dLbls>
          <c:showLegendKey val="0"/>
          <c:showVal val="0"/>
          <c:showCatName val="0"/>
          <c:showSerName val="0"/>
          <c:showPercent val="0"/>
          <c:showBubbleSize val="0"/>
        </c:dLbls>
        <c:gapWidth val="150"/>
        <c:shape val="box"/>
        <c:axId val="157788416"/>
        <c:axId val="157790208"/>
        <c:axId val="0"/>
      </c:bar3DChart>
      <c:catAx>
        <c:axId val="1577884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790208"/>
        <c:crosses val="autoZero"/>
        <c:auto val="1"/>
        <c:lblAlgn val="ctr"/>
        <c:lblOffset val="100"/>
        <c:noMultiLvlLbl val="0"/>
      </c:catAx>
      <c:valAx>
        <c:axId val="157790208"/>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78841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Amniocentesi 97</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'[Prestazioni Loreto 2018.xls]Tabella Riassuntiva 2018'!$C$21:$N$21</c:f>
              <c:numCache>
                <c:formatCode>General</c:formatCode>
                <c:ptCount val="12"/>
                <c:pt idx="0">
                  <c:v>5</c:v>
                </c:pt>
                <c:pt idx="1">
                  <c:v>8</c:v>
                </c:pt>
                <c:pt idx="2">
                  <c:v>7</c:v>
                </c:pt>
                <c:pt idx="3">
                  <c:v>6</c:v>
                </c:pt>
                <c:pt idx="4">
                  <c:v>12</c:v>
                </c:pt>
                <c:pt idx="5">
                  <c:v>10</c:v>
                </c:pt>
                <c:pt idx="6">
                  <c:v>8</c:v>
                </c:pt>
                <c:pt idx="7">
                  <c:v>11</c:v>
                </c:pt>
                <c:pt idx="8">
                  <c:v>8</c:v>
                </c:pt>
                <c:pt idx="9">
                  <c:v>10</c:v>
                </c:pt>
                <c:pt idx="10">
                  <c:v>8</c:v>
                </c:pt>
                <c:pt idx="11">
                  <c:v>4</c:v>
                </c:pt>
              </c:numCache>
            </c:numRef>
          </c:val>
        </c:ser>
        <c:dLbls>
          <c:showLegendKey val="0"/>
          <c:showVal val="0"/>
          <c:showCatName val="0"/>
          <c:showSerName val="0"/>
          <c:showPercent val="0"/>
          <c:showBubbleSize val="0"/>
        </c:dLbls>
        <c:gapWidth val="150"/>
        <c:shape val="box"/>
        <c:axId val="158077312"/>
        <c:axId val="158078848"/>
        <c:axId val="0"/>
      </c:bar3DChart>
      <c:catAx>
        <c:axId val="15807731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8078848"/>
        <c:crosses val="autoZero"/>
        <c:auto val="1"/>
        <c:lblAlgn val="ctr"/>
        <c:lblOffset val="100"/>
        <c:noMultiLvlLbl val="0"/>
      </c:catAx>
      <c:valAx>
        <c:axId val="158078848"/>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807731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Invasive</a:t>
            </a:r>
            <a:r>
              <a:rPr lang="en-US" baseline="0"/>
              <a:t> 2017</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4785614564136929"/>
                  <c:y val="-0.20546322205592069"/>
                </c:manualLayout>
              </c:layout>
              <c:tx>
                <c:rich>
                  <a:bodyPr/>
                  <a:lstStyle/>
                  <a:p>
                    <a:r>
                      <a:rPr lang="en-US" b="1">
                        <a:solidFill>
                          <a:schemeClr val="tx1"/>
                        </a:solidFill>
                      </a:rPr>
                      <a:t>Villo</a:t>
                    </a:r>
                  </a:p>
                  <a:p>
                    <a:r>
                      <a:rPr lang="en-US" b="1">
                        <a:solidFill>
                          <a:schemeClr val="tx1"/>
                        </a:solidFill>
                      </a:rPr>
                      <a:t>68%</a:t>
                    </a:r>
                    <a:endParaRPr lang="en-US"/>
                  </a:p>
                </c:rich>
              </c:tx>
              <c:showLegendKey val="0"/>
              <c:showVal val="0"/>
              <c:showCatName val="0"/>
              <c:showSerName val="0"/>
              <c:showPercent val="1"/>
              <c:showBubbleSize val="0"/>
            </c:dLbl>
            <c:dLbl>
              <c:idx val="1"/>
              <c:layout>
                <c:manualLayout>
                  <c:x val="0.13112816217121795"/>
                  <c:y val="7.3542439426476647E-2"/>
                </c:manualLayout>
              </c:layout>
              <c:tx>
                <c:rich>
                  <a:bodyPr/>
                  <a:lstStyle/>
                  <a:p>
                    <a:r>
                      <a:rPr lang="en-US"/>
                      <a:t>Amnio</a:t>
                    </a:r>
                  </a:p>
                  <a:p>
                    <a:r>
                      <a:rPr lang="en-US"/>
                      <a:t>32%</a:t>
                    </a:r>
                  </a:p>
                </c:rich>
              </c:tx>
              <c:showLegendKey val="0"/>
              <c:showVal val="0"/>
              <c:showCatName val="0"/>
              <c:showSerName val="0"/>
              <c:showPercent val="1"/>
              <c:showBubbleSize val="0"/>
            </c:dLbl>
            <c:txPr>
              <a:bodyPr/>
              <a:lstStyle/>
              <a:p>
                <a:pPr>
                  <a:defRPr b="1">
                    <a:solidFill>
                      <a:schemeClr val="tx1"/>
                    </a:solidFill>
                  </a:defRPr>
                </a:pPr>
                <a:endParaRPr lang="it-IT"/>
              </a:p>
            </c:txPr>
            <c:showLegendKey val="0"/>
            <c:showVal val="0"/>
            <c:showCatName val="0"/>
            <c:showSerName val="0"/>
            <c:showPercent val="1"/>
            <c:showBubbleSize val="0"/>
            <c:showLeaderLines val="1"/>
          </c:dLbls>
          <c:val>
            <c:numRef>
              <c:f>'[Prestazioni Loreto 2018.xls]TOTALE 1718'!$Q$50:$R$50</c:f>
              <c:numCache>
                <c:formatCode>General</c:formatCode>
                <c:ptCount val="2"/>
                <c:pt idx="0">
                  <c:v>196</c:v>
                </c:pt>
                <c:pt idx="1">
                  <c:v>92</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Invasive</a:t>
            </a:r>
            <a:r>
              <a:rPr lang="it-IT" baseline="0"/>
              <a:t> 2018</a:t>
            </a:r>
            <a:endParaRPr lang="it-IT"/>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8087357830271217"/>
                  <c:y val="-0.16201735199766695"/>
                </c:manualLayout>
              </c:layout>
              <c:tx>
                <c:rich>
                  <a:bodyPr/>
                  <a:lstStyle/>
                  <a:p>
                    <a:r>
                      <a:rPr lang="en-US"/>
                      <a:t>Villo</a:t>
                    </a:r>
                  </a:p>
                  <a:p>
                    <a:r>
                      <a:rPr lang="en-US"/>
                      <a:t>66%</a:t>
                    </a:r>
                  </a:p>
                </c:rich>
              </c:tx>
              <c:showLegendKey val="0"/>
              <c:showVal val="0"/>
              <c:showCatName val="0"/>
              <c:showSerName val="0"/>
              <c:showPercent val="1"/>
              <c:showBubbleSize val="0"/>
            </c:dLbl>
            <c:dLbl>
              <c:idx val="1"/>
              <c:layout>
                <c:manualLayout>
                  <c:x val="0.12714154401585878"/>
                  <c:y val="5.6660676751505698E-2"/>
                </c:manualLayout>
              </c:layout>
              <c:tx>
                <c:rich>
                  <a:bodyPr/>
                  <a:lstStyle/>
                  <a:p>
                    <a:r>
                      <a:rPr lang="en-US"/>
                      <a:t>Amnio</a:t>
                    </a:r>
                  </a:p>
                  <a:p>
                    <a:r>
                      <a:rPr lang="en-US"/>
                      <a:t>34%</a:t>
                    </a:r>
                  </a:p>
                </c:rich>
              </c:tx>
              <c:showLegendKey val="0"/>
              <c:showVal val="0"/>
              <c:showCatName val="0"/>
              <c:showSerName val="0"/>
              <c:showPercent val="1"/>
              <c:showBubbleSize val="0"/>
            </c:dLbl>
            <c:txPr>
              <a:bodyPr/>
              <a:lstStyle/>
              <a:p>
                <a:pPr>
                  <a:defRPr b="1">
                    <a:solidFill>
                      <a:schemeClr val="tx1"/>
                    </a:solidFill>
                  </a:defRPr>
                </a:pPr>
                <a:endParaRPr lang="it-IT"/>
              </a:p>
            </c:txPr>
            <c:showLegendKey val="0"/>
            <c:showVal val="0"/>
            <c:showCatName val="0"/>
            <c:showSerName val="0"/>
            <c:showPercent val="1"/>
            <c:showBubbleSize val="0"/>
            <c:showLeaderLines val="1"/>
          </c:dLbls>
          <c:val>
            <c:numRef>
              <c:f>'[Prestazioni Loreto 2018.xls]TOTALE 1718'!$Q$51:$R$51</c:f>
              <c:numCache>
                <c:formatCode>General</c:formatCode>
                <c:ptCount val="2"/>
                <c:pt idx="0">
                  <c:v>179</c:v>
                </c:pt>
                <c:pt idx="1">
                  <c:v>94</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Consulenze Specialistiche</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'[Prestazioni Loreto 2018.xls]TOTALE 1718'!$B$41:$B$46</c:f>
              <c:numCache>
                <c:formatCode>General</c:formatCode>
                <c:ptCount val="6"/>
                <c:pt idx="0">
                  <c:v>18</c:v>
                </c:pt>
                <c:pt idx="1">
                  <c:v>39</c:v>
                </c:pt>
                <c:pt idx="2">
                  <c:v>16</c:v>
                </c:pt>
                <c:pt idx="3">
                  <c:v>0</c:v>
                </c:pt>
                <c:pt idx="4">
                  <c:v>0</c:v>
                </c:pt>
                <c:pt idx="5">
                  <c:v>0</c:v>
                </c:pt>
              </c:numCache>
            </c:numRef>
          </c:val>
        </c:ser>
        <c:ser>
          <c:idx val="1"/>
          <c:order val="1"/>
          <c:invertIfNegative val="0"/>
          <c:dLbls>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'[Prestazioni Loreto 2018.xls]TOTALE 1718'!$C$41:$C$46</c:f>
              <c:numCache>
                <c:formatCode>General</c:formatCode>
                <c:ptCount val="6"/>
                <c:pt idx="0">
                  <c:v>77</c:v>
                </c:pt>
                <c:pt idx="1">
                  <c:v>116</c:v>
                </c:pt>
                <c:pt idx="2">
                  <c:v>22</c:v>
                </c:pt>
                <c:pt idx="3">
                  <c:v>91</c:v>
                </c:pt>
                <c:pt idx="4">
                  <c:v>5</c:v>
                </c:pt>
                <c:pt idx="5">
                  <c:v>5</c:v>
                </c:pt>
              </c:numCache>
            </c:numRef>
          </c:val>
        </c:ser>
        <c:dLbls>
          <c:showLegendKey val="0"/>
          <c:showVal val="0"/>
          <c:showCatName val="0"/>
          <c:showSerName val="0"/>
          <c:showPercent val="0"/>
          <c:showBubbleSize val="0"/>
        </c:dLbls>
        <c:gapWidth val="150"/>
        <c:shape val="box"/>
        <c:axId val="158704000"/>
        <c:axId val="158705536"/>
        <c:axId val="0"/>
      </c:bar3DChart>
      <c:catAx>
        <c:axId val="15870400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8705536"/>
        <c:crosses val="autoZero"/>
        <c:auto val="1"/>
        <c:lblAlgn val="ctr"/>
        <c:lblOffset val="100"/>
        <c:noMultiLvlLbl val="0"/>
      </c:catAx>
      <c:valAx>
        <c:axId val="158705536"/>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8704000"/>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it-IT"/>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Patologici!$A$2</c:f>
              <c:strCache>
                <c:ptCount val="1"/>
                <c:pt idx="0">
                  <c:v>Malformazioni Maggiori</c:v>
                </c:pt>
              </c:strCache>
            </c:strRef>
          </c:tx>
          <c:invertIfNegative val="0"/>
          <c:cat>
            <c:strRef>
              <c:f>Patologici!$B$1:$C$1</c:f>
              <c:strCache>
                <c:ptCount val="2"/>
                <c:pt idx="0">
                  <c:v>AA 2017</c:v>
                </c:pt>
                <c:pt idx="1">
                  <c:v>AA 2018</c:v>
                </c:pt>
              </c:strCache>
            </c:strRef>
          </c:cat>
          <c:val>
            <c:numRef>
              <c:f>Patologici!$B$2:$C$2</c:f>
              <c:numCache>
                <c:formatCode>General</c:formatCode>
                <c:ptCount val="2"/>
                <c:pt idx="0">
                  <c:v>80</c:v>
                </c:pt>
                <c:pt idx="1">
                  <c:v>95</c:v>
                </c:pt>
              </c:numCache>
            </c:numRef>
          </c:val>
        </c:ser>
        <c:ser>
          <c:idx val="1"/>
          <c:order val="1"/>
          <c:tx>
            <c:strRef>
              <c:f>Patologici!$A$3</c:f>
              <c:strCache>
                <c:ptCount val="1"/>
                <c:pt idx="0">
                  <c:v>Malformazioni minori</c:v>
                </c:pt>
              </c:strCache>
            </c:strRef>
          </c:tx>
          <c:invertIfNegative val="0"/>
          <c:cat>
            <c:strRef>
              <c:f>Patologici!$B$1:$C$1</c:f>
              <c:strCache>
                <c:ptCount val="2"/>
                <c:pt idx="0">
                  <c:v>AA 2017</c:v>
                </c:pt>
                <c:pt idx="1">
                  <c:v>AA 2018</c:v>
                </c:pt>
              </c:strCache>
            </c:strRef>
          </c:cat>
          <c:val>
            <c:numRef>
              <c:f>Patologici!$B$3:$C$3</c:f>
              <c:numCache>
                <c:formatCode>General</c:formatCode>
                <c:ptCount val="2"/>
                <c:pt idx="0">
                  <c:v>98</c:v>
                </c:pt>
                <c:pt idx="1">
                  <c:v>166</c:v>
                </c:pt>
              </c:numCache>
            </c:numRef>
          </c:val>
        </c:ser>
        <c:ser>
          <c:idx val="2"/>
          <c:order val="2"/>
          <c:tx>
            <c:strRef>
              <c:f>Patologici!$A$4</c:f>
              <c:strCache>
                <c:ptCount val="1"/>
                <c:pt idx="0">
                  <c:v>Anomalie Cromosomiche/Genetiche</c:v>
                </c:pt>
              </c:strCache>
            </c:strRef>
          </c:tx>
          <c:invertIfNegative val="0"/>
          <c:cat>
            <c:strRef>
              <c:f>Patologici!$B$1:$C$1</c:f>
              <c:strCache>
                <c:ptCount val="2"/>
                <c:pt idx="0">
                  <c:v>AA 2017</c:v>
                </c:pt>
                <c:pt idx="1">
                  <c:v>AA 2018</c:v>
                </c:pt>
              </c:strCache>
            </c:strRef>
          </c:cat>
          <c:val>
            <c:numRef>
              <c:f>Patologici!$B$4:$C$4</c:f>
              <c:numCache>
                <c:formatCode>General</c:formatCode>
                <c:ptCount val="2"/>
                <c:pt idx="0">
                  <c:v>24</c:v>
                </c:pt>
                <c:pt idx="1">
                  <c:v>28</c:v>
                </c:pt>
              </c:numCache>
            </c:numRef>
          </c:val>
        </c:ser>
        <c:dLbls>
          <c:showLegendKey val="0"/>
          <c:showVal val="0"/>
          <c:showCatName val="0"/>
          <c:showSerName val="0"/>
          <c:showPercent val="0"/>
          <c:showBubbleSize val="0"/>
        </c:dLbls>
        <c:gapWidth val="150"/>
        <c:shape val="box"/>
        <c:axId val="185357440"/>
        <c:axId val="185358976"/>
        <c:axId val="0"/>
      </c:bar3DChart>
      <c:catAx>
        <c:axId val="18535744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85358976"/>
        <c:crosses val="autoZero"/>
        <c:auto val="1"/>
        <c:lblAlgn val="ctr"/>
        <c:lblOffset val="100"/>
        <c:noMultiLvlLbl val="0"/>
      </c:catAx>
      <c:valAx>
        <c:axId val="18535897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85357440"/>
        <c:crosses val="autoZero"/>
        <c:crossBetween val="between"/>
      </c:valAx>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it-I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Prestazioni Fuori Regione 625</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Pt>
            <c:idx val="0"/>
            <c:invertIfNegative val="0"/>
            <c:bubble3D val="0"/>
          </c:dPt>
          <c:dPt>
            <c:idx val="1"/>
            <c:invertIfNegative val="0"/>
            <c:bubble3D val="0"/>
          </c:dPt>
          <c:val>
            <c:numRef>
              <c:f>'[Prestazioni Loreto 2018.xls]Fuori Regione'!$A$33:$B$33</c:f>
              <c:numCache>
                <c:formatCode>General</c:formatCode>
                <c:ptCount val="2"/>
                <c:pt idx="0">
                  <c:v>248</c:v>
                </c:pt>
                <c:pt idx="1">
                  <c:v>377</c:v>
                </c:pt>
              </c:numCache>
            </c:numRef>
          </c:val>
        </c:ser>
        <c:dLbls>
          <c:showLegendKey val="0"/>
          <c:showVal val="0"/>
          <c:showCatName val="0"/>
          <c:showSerName val="0"/>
          <c:showPercent val="0"/>
          <c:showBubbleSize val="0"/>
        </c:dLbls>
        <c:gapWidth val="150"/>
        <c:shape val="box"/>
        <c:axId val="154054656"/>
        <c:axId val="154056192"/>
        <c:axId val="0"/>
      </c:bar3DChart>
      <c:catAx>
        <c:axId val="15405465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4056192"/>
        <c:crosses val="autoZero"/>
        <c:auto val="1"/>
        <c:lblAlgn val="ctr"/>
        <c:lblOffset val="100"/>
        <c:noMultiLvlLbl val="0"/>
      </c:catAx>
      <c:valAx>
        <c:axId val="154056192"/>
        <c:scaling>
          <c:orientation val="minMax"/>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it-IT"/>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405465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it-IT"/>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Pz per AV 2017</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4"/>
            <c:bubble3D val="0"/>
            <c:spPr>
              <a:solidFill>
                <a:srgbClr val="FFFF00"/>
              </a:solidFill>
            </c:spPr>
          </c:dPt>
          <c:dLbls>
            <c:showLegendKey val="0"/>
            <c:showVal val="0"/>
            <c:showCatName val="0"/>
            <c:showSerName val="0"/>
            <c:showPercent val="1"/>
            <c:showBubbleSize val="0"/>
            <c:showLeaderLines val="1"/>
          </c:dLbls>
          <c:val>
            <c:numRef>
              <c:f>'[Prestazioni Loreto 2018.xls]PZ  AV - FR 2017'!$N$2:$N$6</c:f>
              <c:numCache>
                <c:formatCode>General</c:formatCode>
                <c:ptCount val="5"/>
                <c:pt idx="0">
                  <c:v>2</c:v>
                </c:pt>
                <c:pt idx="1">
                  <c:v>69</c:v>
                </c:pt>
                <c:pt idx="2">
                  <c:v>96</c:v>
                </c:pt>
                <c:pt idx="3">
                  <c:v>32</c:v>
                </c:pt>
                <c:pt idx="4">
                  <c:v>42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it-I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Pz per AV 2018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spPr>
              <a:solidFill>
                <a:srgbClr val="FFFF00"/>
              </a:solidFill>
            </c:spPr>
          </c:dPt>
          <c:dLbls>
            <c:txPr>
              <a:bodyPr/>
              <a:lstStyle/>
              <a:p>
                <a:pPr>
                  <a:defRPr sz="1000" b="0" i="0" u="none" strike="noStrike" baseline="0">
                    <a:solidFill>
                      <a:srgbClr val="000000"/>
                    </a:solidFill>
                    <a:latin typeface="Calibri"/>
                    <a:ea typeface="Calibri"/>
                    <a:cs typeface="Calibri"/>
                  </a:defRPr>
                </a:pPr>
                <a:endParaRPr lang="it-IT"/>
              </a:p>
            </c:txPr>
            <c:showLegendKey val="0"/>
            <c:showVal val="0"/>
            <c:showCatName val="0"/>
            <c:showSerName val="0"/>
            <c:showPercent val="1"/>
            <c:showBubbleSize val="0"/>
            <c:showLeaderLines val="1"/>
          </c:dLbls>
          <c:val>
            <c:numRef>
              <c:f>'[Prestazioni Loreto 2018.xls]PZ AV - FR 2018'!$N$2:$N$6</c:f>
              <c:numCache>
                <c:formatCode>General</c:formatCode>
                <c:ptCount val="5"/>
                <c:pt idx="0">
                  <c:v>133</c:v>
                </c:pt>
                <c:pt idx="1">
                  <c:v>692</c:v>
                </c:pt>
                <c:pt idx="2">
                  <c:v>504</c:v>
                </c:pt>
                <c:pt idx="3">
                  <c:v>368</c:v>
                </c:pt>
                <c:pt idx="4">
                  <c:v>277</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rtl="0">
            <a:defRPr sz="920" b="0" i="0" u="none" strike="noStrike" baseline="0">
              <a:solidFill>
                <a:srgbClr val="000000"/>
              </a:solidFill>
              <a:latin typeface="Calibri"/>
              <a:ea typeface="Calibri"/>
              <a:cs typeface="Calibri"/>
            </a:defRPr>
          </a:pPr>
          <a:endParaRPr lang="it-I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t-IT" sz="1800" b="1" i="0" baseline="0">
                <a:effectLst/>
              </a:rPr>
              <a:t>Distribuzione Pz per Etnia</a:t>
            </a:r>
            <a:endParaRPr lang="it-IT">
              <a:effectLst/>
            </a:endParaRPr>
          </a:p>
          <a:p>
            <a:pPr>
              <a:defRPr/>
            </a:pPr>
            <a:r>
              <a:rPr lang="it-IT" sz="1800" b="1" i="0" baseline="0">
                <a:effectLst/>
              </a:rPr>
              <a:t>2017</a:t>
            </a:r>
            <a:endParaRPr lang="it-IT">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spPr>
              <a:solidFill>
                <a:srgbClr val="FF0000"/>
              </a:solidFill>
            </c:spPr>
          </c:dPt>
          <c:dLbls>
            <c:dLbl>
              <c:idx val="0"/>
              <c:tx>
                <c:rich>
                  <a:bodyPr/>
                  <a:lstStyle/>
                  <a:p>
                    <a:r>
                      <a:rPr lang="en-US"/>
                      <a:t>ITA</a:t>
                    </a:r>
                  </a:p>
                  <a:p>
                    <a:r>
                      <a:rPr lang="en-US"/>
                      <a:t>79%</a:t>
                    </a:r>
                  </a:p>
                </c:rich>
              </c:tx>
              <c:showLegendKey val="0"/>
              <c:showVal val="0"/>
              <c:showCatName val="0"/>
              <c:showSerName val="0"/>
              <c:showPercent val="1"/>
              <c:showBubbleSize val="0"/>
            </c:dLbl>
            <c:dLbl>
              <c:idx val="1"/>
              <c:tx>
                <c:rich>
                  <a:bodyPr/>
                  <a:lstStyle/>
                  <a:p>
                    <a:r>
                      <a:rPr lang="en-US"/>
                      <a:t>STR</a:t>
                    </a:r>
                  </a:p>
                  <a:p>
                    <a:r>
                      <a:rPr lang="en-US"/>
                      <a:t>21%</a:t>
                    </a:r>
                  </a:p>
                </c:rich>
              </c:tx>
              <c:showLegendKey val="0"/>
              <c:showVal val="0"/>
              <c:showCatName val="0"/>
              <c:showSerName val="0"/>
              <c:showPercent val="1"/>
              <c:showBubbleSize val="0"/>
            </c:dLbl>
            <c:showLegendKey val="0"/>
            <c:showVal val="0"/>
            <c:showCatName val="0"/>
            <c:showSerName val="0"/>
            <c:showPercent val="1"/>
            <c:showBubbleSize val="0"/>
            <c:showLeaderLines val="1"/>
          </c:dLbls>
          <c:val>
            <c:numRef>
              <c:f>'[tabella riassuntiva.xls]2017'!$O$42:$O$43</c:f>
              <c:numCache>
                <c:formatCode>General</c:formatCode>
                <c:ptCount val="2"/>
                <c:pt idx="0">
                  <c:v>593</c:v>
                </c:pt>
                <c:pt idx="1">
                  <c:v>153</c:v>
                </c:pt>
              </c:numCache>
            </c:numRef>
          </c:val>
        </c:ser>
        <c:dLbls>
          <c:showLegendKey val="0"/>
          <c:showVal val="0"/>
          <c:showCatName val="0"/>
          <c:showSerName val="0"/>
          <c:showPercent val="1"/>
          <c:showBubbleSize val="0"/>
          <c:showLeaderLines val="1"/>
        </c:dLbls>
      </c:pie3DChart>
      <c:spPr>
        <a:noFill/>
        <a:ln w="25400">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Distribuzione Pz per Etnia</a:t>
            </a:r>
          </a:p>
          <a:p>
            <a:pPr>
              <a:defRPr sz="1800" b="1" i="0" u="none" strike="noStrike" baseline="0">
                <a:solidFill>
                  <a:srgbClr val="000000"/>
                </a:solidFill>
                <a:latin typeface="Calibri"/>
                <a:ea typeface="Calibri"/>
                <a:cs typeface="Calibri"/>
              </a:defRPr>
            </a:pPr>
            <a:r>
              <a:rPr lang="it-IT"/>
              <a:t>2018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spPr>
              <a:solidFill>
                <a:srgbClr val="FF0000"/>
              </a:solidFill>
            </c:spPr>
          </c:dPt>
          <c:dLbls>
            <c:dLbl>
              <c:idx val="0"/>
              <c:layout>
                <c:manualLayout>
                  <c:x val="-0.15688474523506649"/>
                  <c:y val="-0.22324140386974242"/>
                </c:manualLayout>
              </c:layout>
              <c:tx>
                <c:rich>
                  <a:bodyPr/>
                  <a:lstStyle/>
                  <a:p>
                    <a:r>
                      <a:rPr lang="it-IT"/>
                      <a:t>ITA
78%</a:t>
                    </a:r>
                  </a:p>
                </c:rich>
              </c:tx>
              <c:dLblPos val="bestFit"/>
              <c:showLegendKey val="0"/>
              <c:showVal val="0"/>
              <c:showCatName val="0"/>
              <c:showSerName val="0"/>
              <c:showPercent val="0"/>
              <c:showBubbleSize val="0"/>
            </c:dLbl>
            <c:dLbl>
              <c:idx val="7"/>
              <c:tx>
                <c:rich>
                  <a:bodyPr/>
                  <a:lstStyle/>
                  <a:p>
                    <a:r>
                      <a:rPr lang="it-IT"/>
                      <a:t>STR
22%</a:t>
                    </a:r>
                  </a:p>
                </c:rich>
              </c:tx>
              <c:dLblPos val="bestFit"/>
              <c:showLegendKey val="0"/>
              <c:showVal val="0"/>
              <c:showCatName val="0"/>
              <c:showSerName val="0"/>
              <c:showPercent val="0"/>
              <c:showBubbleSize val="0"/>
            </c:dLbl>
            <c:dLbl>
              <c:idx val="8"/>
              <c:tx>
                <c:rich>
                  <a:bodyPr/>
                  <a:lstStyle/>
                  <a:p>
                    <a:r>
                      <a:rPr lang="it-IT" sz="1000" b="0" i="0" u="none" strike="noStrike" baseline="0">
                        <a:solidFill>
                          <a:srgbClr val="000000"/>
                        </a:solidFill>
                        <a:latin typeface="Calibri"/>
                        <a:cs typeface="Calibri"/>
                      </a:rPr>
                      <a:t>STR</a:t>
                    </a:r>
                  </a:p>
                  <a:p>
                    <a:r>
                      <a:rPr lang="it-IT" sz="1000" b="0" i="0" u="none" strike="noStrike" baseline="0">
                        <a:solidFill>
                          <a:srgbClr val="000000"/>
                        </a:solidFill>
                        <a:latin typeface="Calibri"/>
                        <a:cs typeface="Calibri"/>
                      </a:rPr>
                      <a:t>22%</a:t>
                    </a:r>
                  </a:p>
                </c:rich>
              </c:tx>
              <c:showLegendKey val="0"/>
              <c:showVal val="0"/>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it-IT"/>
              </a:p>
            </c:txPr>
            <c:showLegendKey val="0"/>
            <c:showVal val="0"/>
            <c:showCatName val="1"/>
            <c:showSerName val="0"/>
            <c:showPercent val="1"/>
            <c:showBubbleSize val="0"/>
            <c:showLeaderLines val="1"/>
          </c:dLbls>
          <c:val>
            <c:numRef>
              <c:f>'[Prestazioni Loreto 2018.xls]TOTALE 1718'!$N$50:$N$58</c:f>
              <c:numCache>
                <c:formatCode>General</c:formatCode>
                <c:ptCount val="9"/>
                <c:pt idx="0">
                  <c:v>1516</c:v>
                </c:pt>
                <c:pt idx="8">
                  <c:v>415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Prestazioni Totali 11496</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P. T.</c:v>
          </c:tx>
          <c:invertIfNegative val="0"/>
          <c:dPt>
            <c:idx val="1"/>
            <c:invertIfNegative val="0"/>
            <c:bubble3D val="0"/>
            <c:spPr>
              <a:solidFill>
                <a:schemeClr val="accent2"/>
              </a:solidFill>
            </c:spPr>
          </c:dPt>
          <c:cat>
            <c:strRef>
              <c:f>'[Prestazioni Loreto 2018.xls]TOTALE 1718'!$R$63:$R$64</c:f>
              <c:strCache>
                <c:ptCount val="2"/>
                <c:pt idx="0">
                  <c:v>AA 2017</c:v>
                </c:pt>
                <c:pt idx="1">
                  <c:v>AA 2018</c:v>
                </c:pt>
              </c:strCache>
            </c:strRef>
          </c:cat>
          <c:val>
            <c:numRef>
              <c:f>'[Prestazioni Loreto 2018.xls]TOTALE 1718'!$S$63:$S$64</c:f>
              <c:numCache>
                <c:formatCode>General</c:formatCode>
                <c:ptCount val="2"/>
                <c:pt idx="0">
                  <c:v>4619</c:v>
                </c:pt>
                <c:pt idx="1">
                  <c:v>6873</c:v>
                </c:pt>
              </c:numCache>
            </c:numRef>
          </c:val>
        </c:ser>
        <c:dLbls>
          <c:showLegendKey val="0"/>
          <c:showVal val="0"/>
          <c:showCatName val="0"/>
          <c:showSerName val="0"/>
          <c:showPercent val="0"/>
          <c:showBubbleSize val="0"/>
        </c:dLbls>
        <c:gapWidth val="150"/>
        <c:shape val="box"/>
        <c:axId val="157196288"/>
        <c:axId val="157197824"/>
        <c:axId val="0"/>
      </c:bar3DChart>
      <c:catAx>
        <c:axId val="15719628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197824"/>
        <c:crosses val="autoZero"/>
        <c:auto val="1"/>
        <c:lblAlgn val="ctr"/>
        <c:lblOffset val="100"/>
        <c:noMultiLvlLbl val="0"/>
      </c:catAx>
      <c:valAx>
        <c:axId val="157197824"/>
        <c:scaling>
          <c:orientation val="minMax"/>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it-IT"/>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15719628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it-IT"/>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it-IT"/>
              <a:t>Prestazioni Totali 2017</a:t>
            </a:r>
            <a:r>
              <a:rPr lang="it-IT" baseline="0"/>
              <a:t>     n° </a:t>
            </a:r>
            <a:r>
              <a:rPr lang="it-IT"/>
              <a:t>4619</a:t>
            </a:r>
          </a:p>
        </c:rich>
      </c:tx>
      <c:layout>
        <c:manualLayout>
          <c:xMode val="edge"/>
          <c:yMode val="edge"/>
          <c:x val="0.24974948479397716"/>
          <c:y val="9.7315305706308627E-2"/>
        </c:manualLayout>
      </c:layout>
      <c:overlay val="0"/>
      <c:spPr>
        <a:noFill/>
        <a:ln w="25400">
          <a:noFill/>
        </a:ln>
      </c:spPr>
    </c:title>
    <c:autoTitleDeleted val="0"/>
    <c:view3D>
      <c:rotX val="15"/>
      <c:rotY val="20"/>
      <c:depthPercent val="100"/>
      <c:rAngAx val="1"/>
    </c:view3D>
    <c:floor>
      <c:thickness val="0"/>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0526577385157414"/>
          <c:y val="0.27325239723520611"/>
          <c:w val="0.88851985665155786"/>
          <c:h val="0.62023151488534056"/>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dLbls>
          <c:val>
            <c:numRef>
              <c:f>'[tabella riassuntiva.xls]2017'!$C$34:$N$34</c:f>
              <c:numCache>
                <c:formatCode>General</c:formatCode>
                <c:ptCount val="12"/>
                <c:pt idx="0">
                  <c:v>0</c:v>
                </c:pt>
                <c:pt idx="1">
                  <c:v>184</c:v>
                </c:pt>
                <c:pt idx="2">
                  <c:v>140</c:v>
                </c:pt>
                <c:pt idx="3">
                  <c:v>234</c:v>
                </c:pt>
                <c:pt idx="4">
                  <c:v>517</c:v>
                </c:pt>
                <c:pt idx="5">
                  <c:v>493</c:v>
                </c:pt>
                <c:pt idx="6">
                  <c:v>459</c:v>
                </c:pt>
                <c:pt idx="7">
                  <c:v>566</c:v>
                </c:pt>
                <c:pt idx="8">
                  <c:v>505</c:v>
                </c:pt>
                <c:pt idx="9">
                  <c:v>556</c:v>
                </c:pt>
                <c:pt idx="10">
                  <c:v>469</c:v>
                </c:pt>
                <c:pt idx="11">
                  <c:v>496</c:v>
                </c:pt>
              </c:numCache>
            </c:numRef>
          </c:val>
        </c:ser>
        <c:dLbls>
          <c:showLegendKey val="0"/>
          <c:showVal val="0"/>
          <c:showCatName val="0"/>
          <c:showSerName val="0"/>
          <c:showPercent val="0"/>
          <c:showBubbleSize val="0"/>
        </c:dLbls>
        <c:gapWidth val="150"/>
        <c:shape val="box"/>
        <c:axId val="149835776"/>
        <c:axId val="149837312"/>
        <c:axId val="0"/>
      </c:bar3DChart>
      <c:catAx>
        <c:axId val="149835776"/>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49837312"/>
        <c:crossesAt val="0"/>
        <c:auto val="1"/>
        <c:lblAlgn val="ctr"/>
        <c:lblOffset val="100"/>
        <c:tickLblSkip val="1"/>
        <c:tickMarkSkip val="1"/>
        <c:noMultiLvlLbl val="0"/>
      </c:catAx>
      <c:valAx>
        <c:axId val="149837312"/>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49835776"/>
        <c:crossesAt val="1"/>
        <c:crossBetween val="between"/>
      </c:valAx>
    </c:plotArea>
    <c:plotVisOnly val="1"/>
    <c:dispBlanksAs val="gap"/>
    <c:showDLblsOverMax val="0"/>
  </c:chart>
  <c:spPr>
    <a:solidFill>
      <a:srgbClr val="FFFFFF"/>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77F6E-EB31-406B-A848-8612A310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1206</Words>
  <Characters>6880</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Cecchi</dc:creator>
  <cp:lastModifiedBy>Claudia Pasquini</cp:lastModifiedBy>
  <cp:revision>3</cp:revision>
  <cp:lastPrinted>2019-01-03T11:46:00Z</cp:lastPrinted>
  <dcterms:created xsi:type="dcterms:W3CDTF">2019-01-25T11:45:00Z</dcterms:created>
  <dcterms:modified xsi:type="dcterms:W3CDTF">2019-01-25T11:53:00Z</dcterms:modified>
</cp:coreProperties>
</file>