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533" w:rsidRDefault="00FB1533" w:rsidP="00FA0363">
      <w:pPr>
        <w:spacing w:after="0" w:line="240" w:lineRule="auto"/>
        <w:jc w:val="center"/>
        <w:rPr>
          <w:rFonts w:ascii="Arial" w:hAnsi="Arial" w:cs="Arial"/>
          <w:b/>
          <w:bCs/>
          <w:sz w:val="52"/>
          <w:szCs w:val="52"/>
        </w:rPr>
      </w:pPr>
      <w:r>
        <w:rPr>
          <w:rFonts w:ascii="Arial" w:hAnsi="Arial" w:cs="Arial"/>
          <w:b/>
          <w:bCs/>
          <w:noProof/>
          <w:sz w:val="52"/>
          <w:szCs w:val="52"/>
          <w:lang w:eastAsia="it-IT"/>
        </w:rPr>
        <w:drawing>
          <wp:inline distT="0" distB="0" distL="0" distR="0">
            <wp:extent cx="1785896" cy="1785896"/>
            <wp:effectExtent l="19050" t="0" r="4804" b="0"/>
            <wp:docPr id="2" name="Immagine 1" descr="logo 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A.jpg"/>
                    <pic:cNvPicPr/>
                  </pic:nvPicPr>
                  <pic:blipFill>
                    <a:blip r:embed="rId5" cstate="print"/>
                    <a:stretch>
                      <a:fillRect/>
                    </a:stretch>
                  </pic:blipFill>
                  <pic:spPr>
                    <a:xfrm>
                      <a:off x="0" y="0"/>
                      <a:ext cx="1786122" cy="1786122"/>
                    </a:xfrm>
                    <a:prstGeom prst="rect">
                      <a:avLst/>
                    </a:prstGeom>
                  </pic:spPr>
                </pic:pic>
              </a:graphicData>
            </a:graphic>
          </wp:inline>
        </w:drawing>
      </w:r>
    </w:p>
    <w:p w:rsidR="00FB1533" w:rsidRDefault="00FB1533" w:rsidP="00FA0363">
      <w:pPr>
        <w:spacing w:after="0" w:line="240" w:lineRule="auto"/>
        <w:jc w:val="center"/>
        <w:rPr>
          <w:rFonts w:ascii="Arial" w:hAnsi="Arial" w:cs="Arial"/>
          <w:b/>
          <w:bCs/>
          <w:sz w:val="52"/>
          <w:szCs w:val="52"/>
        </w:rPr>
      </w:pPr>
    </w:p>
    <w:p w:rsidR="009360A4" w:rsidRDefault="009360A4" w:rsidP="00FA0363">
      <w:pPr>
        <w:spacing w:after="0" w:line="240" w:lineRule="auto"/>
        <w:jc w:val="center"/>
        <w:rPr>
          <w:rFonts w:ascii="Arial" w:hAnsi="Arial" w:cs="Arial"/>
          <w:b/>
          <w:bCs/>
          <w:sz w:val="52"/>
          <w:szCs w:val="52"/>
        </w:rPr>
      </w:pPr>
      <w:r w:rsidRPr="009360A4">
        <w:rPr>
          <w:rFonts w:ascii="Arial" w:hAnsi="Arial" w:cs="Arial"/>
          <w:b/>
          <w:bCs/>
          <w:sz w:val="52"/>
          <w:szCs w:val="52"/>
        </w:rPr>
        <w:t xml:space="preserve">INDAGINE DELLA CNA </w:t>
      </w:r>
      <w:proofErr w:type="spellStart"/>
      <w:r w:rsidRPr="009360A4">
        <w:rPr>
          <w:rFonts w:ascii="Arial" w:hAnsi="Arial" w:cs="Arial"/>
          <w:b/>
          <w:bCs/>
          <w:sz w:val="52"/>
          <w:szCs w:val="52"/>
        </w:rPr>
        <w:t>DI</w:t>
      </w:r>
      <w:proofErr w:type="spellEnd"/>
      <w:r w:rsidRPr="009360A4">
        <w:rPr>
          <w:rFonts w:ascii="Arial" w:hAnsi="Arial" w:cs="Arial"/>
          <w:b/>
          <w:bCs/>
          <w:sz w:val="52"/>
          <w:szCs w:val="52"/>
        </w:rPr>
        <w:t xml:space="preserve"> ASCOLI SULLE ASPETTATIVE PER LE IMPRESE DEL PICENO NEL 2020</w:t>
      </w:r>
    </w:p>
    <w:p w:rsidR="002B454A" w:rsidRDefault="002B454A" w:rsidP="00FA0363">
      <w:pPr>
        <w:spacing w:after="0" w:line="240" w:lineRule="auto"/>
        <w:jc w:val="center"/>
        <w:rPr>
          <w:rFonts w:ascii="Arial" w:hAnsi="Arial" w:cs="Arial"/>
          <w:b/>
          <w:bCs/>
          <w:sz w:val="52"/>
          <w:szCs w:val="52"/>
        </w:rPr>
      </w:pPr>
    </w:p>
    <w:p w:rsidR="002B454A" w:rsidRDefault="00103666" w:rsidP="00FA0363">
      <w:pPr>
        <w:spacing w:after="0" w:line="240" w:lineRule="auto"/>
        <w:jc w:val="center"/>
        <w:rPr>
          <w:rFonts w:ascii="Arial" w:hAnsi="Arial" w:cs="Arial"/>
          <w:b/>
          <w:bCs/>
          <w:sz w:val="36"/>
          <w:szCs w:val="36"/>
        </w:rPr>
      </w:pPr>
      <w:r>
        <w:rPr>
          <w:rFonts w:ascii="Arial" w:hAnsi="Arial" w:cs="Arial"/>
          <w:b/>
          <w:bCs/>
          <w:sz w:val="36"/>
          <w:szCs w:val="36"/>
        </w:rPr>
        <w:t>NUMERI</w:t>
      </w:r>
      <w:r w:rsidR="002B454A" w:rsidRPr="002B454A">
        <w:rPr>
          <w:rFonts w:ascii="Arial" w:hAnsi="Arial" w:cs="Arial"/>
          <w:b/>
          <w:bCs/>
          <w:sz w:val="36"/>
          <w:szCs w:val="36"/>
        </w:rPr>
        <w:t xml:space="preserve"> INCORAGGIANTI PER</w:t>
      </w:r>
      <w:r w:rsidR="002B454A">
        <w:rPr>
          <w:rFonts w:ascii="Arial" w:hAnsi="Arial" w:cs="Arial"/>
          <w:b/>
          <w:bCs/>
          <w:sz w:val="36"/>
          <w:szCs w:val="36"/>
        </w:rPr>
        <w:t xml:space="preserve"> L’ALIMENTARE MA TESSILE E ABBIGLIAMENTO</w:t>
      </w:r>
      <w:r w:rsidR="006E7408">
        <w:rPr>
          <w:rFonts w:ascii="Arial" w:hAnsi="Arial" w:cs="Arial"/>
          <w:b/>
          <w:bCs/>
          <w:sz w:val="36"/>
          <w:szCs w:val="36"/>
        </w:rPr>
        <w:t xml:space="preserve"> FANNO PREVISIONI IN ROSSO A CAUSA SOPRATTUTTO DEGLI SCENARI INTERNAZIONALI CHE SI STANNO PROFILANDO</w:t>
      </w:r>
    </w:p>
    <w:p w:rsidR="00103666" w:rsidRDefault="00103666" w:rsidP="00FA0363">
      <w:pPr>
        <w:spacing w:after="0" w:line="240" w:lineRule="auto"/>
        <w:jc w:val="center"/>
        <w:rPr>
          <w:rFonts w:ascii="Arial" w:hAnsi="Arial" w:cs="Arial"/>
          <w:b/>
          <w:bCs/>
          <w:sz w:val="36"/>
          <w:szCs w:val="36"/>
        </w:rPr>
      </w:pPr>
    </w:p>
    <w:p w:rsidR="00103666" w:rsidRPr="00103666" w:rsidRDefault="00103666" w:rsidP="00FA0363">
      <w:pPr>
        <w:spacing w:after="0" w:line="240" w:lineRule="auto"/>
        <w:jc w:val="center"/>
        <w:rPr>
          <w:rFonts w:ascii="Arial" w:hAnsi="Arial" w:cs="Arial"/>
          <w:bCs/>
          <w:i/>
          <w:sz w:val="32"/>
          <w:szCs w:val="32"/>
        </w:rPr>
      </w:pPr>
      <w:r w:rsidRPr="00103666">
        <w:rPr>
          <w:rFonts w:ascii="Arial" w:hAnsi="Arial" w:cs="Arial"/>
          <w:bCs/>
          <w:i/>
          <w:sz w:val="32"/>
          <w:szCs w:val="32"/>
        </w:rPr>
        <w:t xml:space="preserve">BALLONI (DIRETTORE CNA ASCOLI): </w:t>
      </w:r>
      <w:r w:rsidR="00DD50C9">
        <w:rPr>
          <w:rFonts w:ascii="Arial" w:hAnsi="Arial" w:cs="Arial"/>
          <w:bCs/>
          <w:i/>
          <w:sz w:val="32"/>
          <w:szCs w:val="32"/>
        </w:rPr>
        <w:t>“</w:t>
      </w:r>
      <w:r w:rsidRPr="00103666">
        <w:rPr>
          <w:rFonts w:ascii="Arial" w:hAnsi="Arial" w:cs="Arial"/>
          <w:bCs/>
          <w:i/>
          <w:sz w:val="32"/>
          <w:szCs w:val="32"/>
        </w:rPr>
        <w:t xml:space="preserve">AVVIEREMO GIA’ DA MARZO UN TOUR SU TUTTO IL TERRITORIO PER INFORMARE PORTA A PORTA GLI IMPRENDITORI SULLE OPPORTUNITA’ DI SOSTEGNO E FINANZIAMENTO </w:t>
      </w:r>
      <w:r w:rsidR="00DD50C9">
        <w:rPr>
          <w:rFonts w:ascii="Arial" w:hAnsi="Arial" w:cs="Arial"/>
          <w:bCs/>
          <w:i/>
          <w:sz w:val="32"/>
          <w:szCs w:val="32"/>
        </w:rPr>
        <w:t xml:space="preserve">E </w:t>
      </w:r>
      <w:r w:rsidRPr="00103666">
        <w:rPr>
          <w:rFonts w:ascii="Arial" w:hAnsi="Arial" w:cs="Arial"/>
          <w:bCs/>
          <w:i/>
          <w:sz w:val="32"/>
          <w:szCs w:val="32"/>
        </w:rPr>
        <w:t>PER FAR SI’ CHE ALCUNI SEGNALI INCORAGGIANTI DI FINE 2019 NON SI DI</w:t>
      </w:r>
      <w:r w:rsidR="00DD50C9">
        <w:rPr>
          <w:rFonts w:ascii="Arial" w:hAnsi="Arial" w:cs="Arial"/>
          <w:bCs/>
          <w:i/>
          <w:sz w:val="32"/>
          <w:szCs w:val="32"/>
        </w:rPr>
        <w:t>S</w:t>
      </w:r>
      <w:bookmarkStart w:id="0" w:name="_GoBack"/>
      <w:bookmarkEnd w:id="0"/>
      <w:r w:rsidRPr="00103666">
        <w:rPr>
          <w:rFonts w:ascii="Arial" w:hAnsi="Arial" w:cs="Arial"/>
          <w:bCs/>
          <w:i/>
          <w:sz w:val="32"/>
          <w:szCs w:val="32"/>
        </w:rPr>
        <w:t>PERDANO”</w:t>
      </w:r>
    </w:p>
    <w:p w:rsidR="00E97C5C" w:rsidRDefault="00E97C5C" w:rsidP="00FA0363">
      <w:pPr>
        <w:spacing w:after="0" w:line="240" w:lineRule="auto"/>
        <w:jc w:val="center"/>
        <w:rPr>
          <w:rFonts w:ascii="Arial" w:hAnsi="Arial" w:cs="Arial"/>
          <w:b/>
          <w:bCs/>
          <w:sz w:val="52"/>
          <w:szCs w:val="52"/>
        </w:rPr>
      </w:pPr>
    </w:p>
    <w:p w:rsidR="00E97C5C" w:rsidRDefault="00724C19" w:rsidP="00E04AA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Anche se con grande fatica che imprese del Piceno tornano a investire e a programmare di investire nel 2020. Lo rileva un sondaggio commissionato dalla </w:t>
      </w:r>
      <w:proofErr w:type="spellStart"/>
      <w:r>
        <w:rPr>
          <w:rFonts w:ascii="Times New Roman" w:hAnsi="Times New Roman" w:cs="Times New Roman"/>
          <w:bCs/>
          <w:sz w:val="24"/>
          <w:szCs w:val="24"/>
        </w:rPr>
        <w:t>Cna</w:t>
      </w:r>
      <w:proofErr w:type="spellEnd"/>
      <w:r>
        <w:rPr>
          <w:rFonts w:ascii="Times New Roman" w:hAnsi="Times New Roman" w:cs="Times New Roman"/>
          <w:bCs/>
          <w:sz w:val="24"/>
          <w:szCs w:val="24"/>
        </w:rPr>
        <w:t xml:space="preserve"> di Ascoli al Centro studi della </w:t>
      </w:r>
      <w:proofErr w:type="spellStart"/>
      <w:r>
        <w:rPr>
          <w:rFonts w:ascii="Times New Roman" w:hAnsi="Times New Roman" w:cs="Times New Roman"/>
          <w:bCs/>
          <w:sz w:val="24"/>
          <w:szCs w:val="24"/>
        </w:rPr>
        <w:t>Cna</w:t>
      </w:r>
      <w:proofErr w:type="spellEnd"/>
      <w:r>
        <w:rPr>
          <w:rFonts w:ascii="Times New Roman" w:hAnsi="Times New Roman" w:cs="Times New Roman"/>
          <w:bCs/>
          <w:sz w:val="24"/>
          <w:szCs w:val="24"/>
        </w:rPr>
        <w:t xml:space="preserve"> regionale delle Marche. Nei primi 6 mesi dell’anno in corso il 22 per cento delle aziende metteranno a bilancio spese per ammodernamento, innovazione, nuove figure professionali. “Una percentuale ancora sicuramente bassa – spiega il direttore della </w:t>
      </w:r>
      <w:proofErr w:type="spellStart"/>
      <w:r>
        <w:rPr>
          <w:rFonts w:ascii="Times New Roman" w:hAnsi="Times New Roman" w:cs="Times New Roman"/>
          <w:bCs/>
          <w:sz w:val="24"/>
          <w:szCs w:val="24"/>
        </w:rPr>
        <w:t>Cna</w:t>
      </w:r>
      <w:proofErr w:type="spellEnd"/>
      <w:r>
        <w:rPr>
          <w:rFonts w:ascii="Times New Roman" w:hAnsi="Times New Roman" w:cs="Times New Roman"/>
          <w:bCs/>
          <w:sz w:val="24"/>
          <w:szCs w:val="24"/>
        </w:rPr>
        <w:t xml:space="preserve">, Francesco </w:t>
      </w:r>
      <w:proofErr w:type="spellStart"/>
      <w:r>
        <w:rPr>
          <w:rFonts w:ascii="Times New Roman" w:hAnsi="Times New Roman" w:cs="Times New Roman"/>
          <w:bCs/>
          <w:sz w:val="24"/>
          <w:szCs w:val="24"/>
        </w:rPr>
        <w:t>Balloni</w:t>
      </w:r>
      <w:proofErr w:type="spellEnd"/>
      <w:r>
        <w:rPr>
          <w:rFonts w:ascii="Times New Roman" w:hAnsi="Times New Roman" w:cs="Times New Roman"/>
          <w:bCs/>
          <w:sz w:val="24"/>
          <w:szCs w:val="24"/>
        </w:rPr>
        <w:t xml:space="preserve"> – ma che incoraggia a proseguire nel nostro lavoro. Soprattutto in quello di informare le imprese sulle opportunità di sostegno agli investimenti. Fra aprile e marzo abbiamo in programma una serie di appuntamenti su tutto il territorio proprio per dare indicazioni precise e dettagliate agli imprenditori. </w:t>
      </w:r>
      <w:r w:rsidR="00D2745E">
        <w:rPr>
          <w:rFonts w:ascii="Times New Roman" w:hAnsi="Times New Roman" w:cs="Times New Roman"/>
          <w:bCs/>
          <w:sz w:val="24"/>
          <w:szCs w:val="24"/>
        </w:rPr>
        <w:t xml:space="preserve">Incontri programmati sia nelle nostre sedi di Ascoli </w:t>
      </w:r>
      <w:r w:rsidR="00151AB9">
        <w:rPr>
          <w:rFonts w:ascii="Times New Roman" w:hAnsi="Times New Roman" w:cs="Times New Roman"/>
          <w:bCs/>
          <w:sz w:val="24"/>
          <w:szCs w:val="24"/>
        </w:rPr>
        <w:t xml:space="preserve">Piceno </w:t>
      </w:r>
      <w:r w:rsidR="00D2745E">
        <w:rPr>
          <w:rFonts w:ascii="Times New Roman" w:hAnsi="Times New Roman" w:cs="Times New Roman"/>
          <w:bCs/>
          <w:sz w:val="24"/>
          <w:szCs w:val="24"/>
        </w:rPr>
        <w:t xml:space="preserve">e San Benedetto </w:t>
      </w:r>
      <w:r w:rsidR="00151AB9">
        <w:rPr>
          <w:rFonts w:ascii="Times New Roman" w:hAnsi="Times New Roman" w:cs="Times New Roman"/>
          <w:bCs/>
          <w:sz w:val="24"/>
          <w:szCs w:val="24"/>
        </w:rPr>
        <w:t xml:space="preserve">del Tronto, </w:t>
      </w:r>
      <w:r w:rsidR="00D2745E">
        <w:rPr>
          <w:rFonts w:ascii="Times New Roman" w:hAnsi="Times New Roman" w:cs="Times New Roman"/>
          <w:bCs/>
          <w:sz w:val="24"/>
          <w:szCs w:val="24"/>
        </w:rPr>
        <w:t>come nella zona montana e nella vallata”.</w:t>
      </w:r>
    </w:p>
    <w:p w:rsidR="00202571" w:rsidRDefault="00202571" w:rsidP="00E04AA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L’impulso agli investimenti – è la valutazione della </w:t>
      </w:r>
      <w:proofErr w:type="spellStart"/>
      <w:r>
        <w:rPr>
          <w:rFonts w:ascii="Times New Roman" w:hAnsi="Times New Roman" w:cs="Times New Roman"/>
          <w:bCs/>
          <w:sz w:val="24"/>
          <w:szCs w:val="24"/>
        </w:rPr>
        <w:t>Cna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Picena</w:t>
      </w:r>
      <w:proofErr w:type="spellEnd"/>
      <w:r>
        <w:rPr>
          <w:rFonts w:ascii="Times New Roman" w:hAnsi="Times New Roman" w:cs="Times New Roman"/>
          <w:bCs/>
          <w:sz w:val="24"/>
          <w:szCs w:val="24"/>
        </w:rPr>
        <w:t xml:space="preserve"> – è fondamentale e da sviluppare in tempi rapidissimi. Il 22 per cento delle aziende che hanno programmato investimenti da qui all’estate sono – sempre in base ai dati storici elaborati dalla </w:t>
      </w:r>
      <w:proofErr w:type="spellStart"/>
      <w:r>
        <w:rPr>
          <w:rFonts w:ascii="Times New Roman" w:hAnsi="Times New Roman" w:cs="Times New Roman"/>
          <w:bCs/>
          <w:sz w:val="24"/>
          <w:szCs w:val="24"/>
        </w:rPr>
        <w:t>Cna</w:t>
      </w:r>
      <w:proofErr w:type="spellEnd"/>
      <w:r>
        <w:rPr>
          <w:rFonts w:ascii="Times New Roman" w:hAnsi="Times New Roman" w:cs="Times New Roman"/>
          <w:bCs/>
          <w:sz w:val="24"/>
          <w:szCs w:val="24"/>
        </w:rPr>
        <w:t xml:space="preserve"> – quasi il doppio di quelle che hanno investito fra il 2018 e il 2019, ovvero poco più del 14 per cento delle imprese. A questo si aggiunge che settori come la meccanica </w:t>
      </w:r>
      <w:r w:rsidR="00F3419B">
        <w:rPr>
          <w:rFonts w:ascii="Times New Roman" w:hAnsi="Times New Roman" w:cs="Times New Roman"/>
          <w:bCs/>
          <w:sz w:val="24"/>
          <w:szCs w:val="24"/>
        </w:rPr>
        <w:t xml:space="preserve">(più 47%) </w:t>
      </w:r>
      <w:r>
        <w:rPr>
          <w:rFonts w:ascii="Times New Roman" w:hAnsi="Times New Roman" w:cs="Times New Roman"/>
          <w:bCs/>
          <w:sz w:val="24"/>
          <w:szCs w:val="24"/>
        </w:rPr>
        <w:t xml:space="preserve">e l’alimentare </w:t>
      </w:r>
      <w:r w:rsidR="00F3419B">
        <w:rPr>
          <w:rFonts w:ascii="Times New Roman" w:hAnsi="Times New Roman" w:cs="Times New Roman"/>
          <w:bCs/>
          <w:sz w:val="24"/>
          <w:szCs w:val="24"/>
        </w:rPr>
        <w:t xml:space="preserve">(più 63%) </w:t>
      </w:r>
      <w:r>
        <w:rPr>
          <w:rFonts w:ascii="Times New Roman" w:hAnsi="Times New Roman" w:cs="Times New Roman"/>
          <w:bCs/>
          <w:sz w:val="24"/>
          <w:szCs w:val="24"/>
        </w:rPr>
        <w:t>raddoppiano o addirittura triplicano questa propensione a investire.</w:t>
      </w:r>
      <w:r w:rsidR="00151AB9">
        <w:rPr>
          <w:rFonts w:ascii="Times New Roman" w:hAnsi="Times New Roman" w:cs="Times New Roman"/>
          <w:bCs/>
          <w:sz w:val="24"/>
          <w:szCs w:val="24"/>
        </w:rPr>
        <w:t xml:space="preserve"> Segnano invece il passo settori come moda, abbigliamento e servizi che</w:t>
      </w:r>
      <w:r w:rsidR="00C53D6E">
        <w:rPr>
          <w:rFonts w:ascii="Times New Roman" w:hAnsi="Times New Roman" w:cs="Times New Roman"/>
          <w:bCs/>
          <w:sz w:val="24"/>
          <w:szCs w:val="24"/>
        </w:rPr>
        <w:t xml:space="preserve"> – nelle intenzioni espresse rispondendo al sondaggio della </w:t>
      </w:r>
      <w:proofErr w:type="spellStart"/>
      <w:r w:rsidR="00C53D6E">
        <w:rPr>
          <w:rFonts w:ascii="Times New Roman" w:hAnsi="Times New Roman" w:cs="Times New Roman"/>
          <w:bCs/>
          <w:sz w:val="24"/>
          <w:szCs w:val="24"/>
        </w:rPr>
        <w:t>Cna</w:t>
      </w:r>
      <w:proofErr w:type="spellEnd"/>
      <w:r w:rsidR="00C53D6E">
        <w:rPr>
          <w:rFonts w:ascii="Times New Roman" w:hAnsi="Times New Roman" w:cs="Times New Roman"/>
          <w:bCs/>
          <w:sz w:val="24"/>
          <w:szCs w:val="24"/>
        </w:rPr>
        <w:t xml:space="preserve"> – non pensano di effettuare alcun investimento, almeno per questo primo semestre dell’anno.</w:t>
      </w:r>
    </w:p>
    <w:p w:rsidR="00C53D6E" w:rsidRDefault="006734BE" w:rsidP="00E04AA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Altro dato significativo, raccolto da </w:t>
      </w:r>
      <w:proofErr w:type="spellStart"/>
      <w:r>
        <w:rPr>
          <w:rFonts w:ascii="Times New Roman" w:hAnsi="Times New Roman" w:cs="Times New Roman"/>
          <w:bCs/>
          <w:sz w:val="24"/>
          <w:szCs w:val="24"/>
        </w:rPr>
        <w:t>Cna</w:t>
      </w:r>
      <w:proofErr w:type="spellEnd"/>
      <w:r>
        <w:rPr>
          <w:rFonts w:ascii="Times New Roman" w:hAnsi="Times New Roman" w:cs="Times New Roman"/>
          <w:bCs/>
          <w:sz w:val="24"/>
          <w:szCs w:val="24"/>
        </w:rPr>
        <w:t xml:space="preserve"> intervistando oltre 60 imprese picene del settore manifatturiero, è che un terzo di queste hanno dichiarato di aver chiuso il 2019 in crescita e solo il 18 per cento con attività in calo. “Nel complesso di tutte le imprese medie e piccole artigiane a commerciali – precisa Luigi </w:t>
      </w:r>
      <w:proofErr w:type="spellStart"/>
      <w:r>
        <w:rPr>
          <w:rFonts w:ascii="Times New Roman" w:hAnsi="Times New Roman" w:cs="Times New Roman"/>
          <w:bCs/>
          <w:sz w:val="24"/>
          <w:szCs w:val="24"/>
        </w:rPr>
        <w:t>Passaretti</w:t>
      </w:r>
      <w:proofErr w:type="spellEnd"/>
      <w:r>
        <w:rPr>
          <w:rFonts w:ascii="Times New Roman" w:hAnsi="Times New Roman" w:cs="Times New Roman"/>
          <w:bCs/>
          <w:sz w:val="24"/>
          <w:szCs w:val="24"/>
        </w:rPr>
        <w:t xml:space="preserve">, presidente della </w:t>
      </w:r>
      <w:proofErr w:type="spellStart"/>
      <w:r>
        <w:rPr>
          <w:rFonts w:ascii="Times New Roman" w:hAnsi="Times New Roman" w:cs="Times New Roman"/>
          <w:bCs/>
          <w:sz w:val="24"/>
          <w:szCs w:val="24"/>
        </w:rPr>
        <w:t>Cna</w:t>
      </w:r>
      <w:proofErr w:type="spellEnd"/>
      <w:r>
        <w:rPr>
          <w:rFonts w:ascii="Times New Roman" w:hAnsi="Times New Roman" w:cs="Times New Roman"/>
          <w:bCs/>
          <w:sz w:val="24"/>
          <w:szCs w:val="24"/>
        </w:rPr>
        <w:t xml:space="preserve"> di Ascoli – il 70 per cento ha dichiarato un fatturato stabile. E’ come vedere un bicchiere mezzo vuoto o mezzo pieno</w:t>
      </w:r>
      <w:r w:rsidR="00BA7C35">
        <w:rPr>
          <w:rFonts w:ascii="Times New Roman" w:hAnsi="Times New Roman" w:cs="Times New Roman"/>
          <w:bCs/>
          <w:sz w:val="24"/>
          <w:szCs w:val="24"/>
        </w:rPr>
        <w:t>. M</w:t>
      </w:r>
      <w:r>
        <w:rPr>
          <w:rFonts w:ascii="Times New Roman" w:hAnsi="Times New Roman" w:cs="Times New Roman"/>
          <w:bCs/>
          <w:sz w:val="24"/>
          <w:szCs w:val="24"/>
        </w:rPr>
        <w:t xml:space="preserve">a </w:t>
      </w:r>
      <w:r w:rsidR="00BA7C35">
        <w:rPr>
          <w:rFonts w:ascii="Times New Roman" w:hAnsi="Times New Roman" w:cs="Times New Roman"/>
          <w:bCs/>
          <w:sz w:val="24"/>
          <w:szCs w:val="24"/>
        </w:rPr>
        <w:t xml:space="preserve">è </w:t>
      </w:r>
      <w:r>
        <w:rPr>
          <w:rFonts w:ascii="Times New Roman" w:hAnsi="Times New Roman" w:cs="Times New Roman"/>
          <w:bCs/>
          <w:sz w:val="24"/>
          <w:szCs w:val="24"/>
        </w:rPr>
        <w:t xml:space="preserve">dalla stabilità </w:t>
      </w:r>
      <w:r w:rsidR="00BA7C35">
        <w:rPr>
          <w:rFonts w:ascii="Times New Roman" w:hAnsi="Times New Roman" w:cs="Times New Roman"/>
          <w:bCs/>
          <w:sz w:val="24"/>
          <w:szCs w:val="24"/>
        </w:rPr>
        <w:t xml:space="preserve">che </w:t>
      </w:r>
      <w:r>
        <w:rPr>
          <w:rFonts w:ascii="Times New Roman" w:hAnsi="Times New Roman" w:cs="Times New Roman"/>
          <w:bCs/>
          <w:sz w:val="24"/>
          <w:szCs w:val="24"/>
        </w:rPr>
        <w:t>si può sperare di passare alla crescita. Dopo anni di segni negativi su quasi tutti gli indicatori economici territoriali”.</w:t>
      </w:r>
    </w:p>
    <w:p w:rsidR="008A2D5F" w:rsidRDefault="00D2320C" w:rsidP="00E04AA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Da monitorare con attenzione – </w:t>
      </w:r>
      <w:r w:rsidR="006B0746">
        <w:rPr>
          <w:rFonts w:ascii="Times New Roman" w:hAnsi="Times New Roman" w:cs="Times New Roman"/>
          <w:bCs/>
          <w:sz w:val="24"/>
          <w:szCs w:val="24"/>
        </w:rPr>
        <w:t xml:space="preserve">secondo </w:t>
      </w:r>
      <w:proofErr w:type="spellStart"/>
      <w:r w:rsidR="006B0746">
        <w:rPr>
          <w:rFonts w:ascii="Times New Roman" w:hAnsi="Times New Roman" w:cs="Times New Roman"/>
          <w:bCs/>
          <w:sz w:val="24"/>
          <w:szCs w:val="24"/>
        </w:rPr>
        <w:t>Cna</w:t>
      </w:r>
      <w:proofErr w:type="spellEnd"/>
      <w:r>
        <w:rPr>
          <w:rFonts w:ascii="Times New Roman" w:hAnsi="Times New Roman" w:cs="Times New Roman"/>
          <w:bCs/>
          <w:sz w:val="24"/>
          <w:szCs w:val="24"/>
        </w:rPr>
        <w:t xml:space="preserve"> – i fatto che imprese come quelle del tessile, dell’abbigliamento e del calzaturiero che nel 2019 avevano fatto registrare un’impennata di fatturato e investimenti, per il 2020 non prevedono assolutamente di continuare su questa strada positiva. </w:t>
      </w:r>
      <w:r w:rsidR="008A2D5F">
        <w:rPr>
          <w:rFonts w:ascii="Times New Roman" w:hAnsi="Times New Roman" w:cs="Times New Roman"/>
          <w:bCs/>
          <w:sz w:val="24"/>
          <w:szCs w:val="24"/>
        </w:rPr>
        <w:t xml:space="preserve">E certamente </w:t>
      </w:r>
      <w:r>
        <w:rPr>
          <w:rFonts w:ascii="Times New Roman" w:hAnsi="Times New Roman" w:cs="Times New Roman"/>
          <w:bCs/>
          <w:sz w:val="24"/>
          <w:szCs w:val="24"/>
        </w:rPr>
        <w:t xml:space="preserve">in questi </w:t>
      </w:r>
      <w:r w:rsidR="008A2D5F">
        <w:rPr>
          <w:rFonts w:ascii="Times New Roman" w:hAnsi="Times New Roman" w:cs="Times New Roman"/>
          <w:bCs/>
          <w:sz w:val="24"/>
          <w:szCs w:val="24"/>
        </w:rPr>
        <w:t xml:space="preserve">specifici </w:t>
      </w:r>
      <w:r>
        <w:rPr>
          <w:rFonts w:ascii="Times New Roman" w:hAnsi="Times New Roman" w:cs="Times New Roman"/>
          <w:bCs/>
          <w:sz w:val="24"/>
          <w:szCs w:val="24"/>
        </w:rPr>
        <w:t xml:space="preserve">settori le congiunture internazionali, dai dazi agli embarghi, per arrivare alle psicosi di pandemie, incidono fortemente soprattutto sui vitalissimi mercati dell’est e orientali. </w:t>
      </w:r>
    </w:p>
    <w:p w:rsidR="00D2320C" w:rsidRPr="00E04AA9" w:rsidRDefault="006B0746" w:rsidP="00E04AA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D0132E">
        <w:rPr>
          <w:rFonts w:ascii="Times New Roman" w:hAnsi="Times New Roman" w:cs="Times New Roman"/>
          <w:bCs/>
          <w:sz w:val="24"/>
          <w:szCs w:val="24"/>
        </w:rPr>
        <w:t xml:space="preserve">Misure di sostegno ne sono </w:t>
      </w:r>
      <w:r w:rsidR="008A2D5F">
        <w:rPr>
          <w:rFonts w:ascii="Times New Roman" w:hAnsi="Times New Roman" w:cs="Times New Roman"/>
          <w:bCs/>
          <w:sz w:val="24"/>
          <w:szCs w:val="24"/>
        </w:rPr>
        <w:t xml:space="preserve">in atto </w:t>
      </w:r>
      <w:r w:rsidR="00D0132E">
        <w:rPr>
          <w:rFonts w:ascii="Times New Roman" w:hAnsi="Times New Roman" w:cs="Times New Roman"/>
          <w:bCs/>
          <w:sz w:val="24"/>
          <w:szCs w:val="24"/>
        </w:rPr>
        <w:t xml:space="preserve">molte per questo 2020 </w:t>
      </w:r>
      <w:r>
        <w:rPr>
          <w:rFonts w:ascii="Times New Roman" w:hAnsi="Times New Roman" w:cs="Times New Roman"/>
          <w:bCs/>
          <w:sz w:val="24"/>
          <w:szCs w:val="24"/>
        </w:rPr>
        <w:t xml:space="preserve">– conclude Massimo </w:t>
      </w:r>
      <w:proofErr w:type="spellStart"/>
      <w:r>
        <w:rPr>
          <w:rFonts w:ascii="Times New Roman" w:hAnsi="Times New Roman" w:cs="Times New Roman"/>
          <w:bCs/>
          <w:sz w:val="24"/>
          <w:szCs w:val="24"/>
        </w:rPr>
        <w:t>Capriotti</w:t>
      </w:r>
      <w:proofErr w:type="spellEnd"/>
      <w:r>
        <w:rPr>
          <w:rFonts w:ascii="Times New Roman" w:hAnsi="Times New Roman" w:cs="Times New Roman"/>
          <w:bCs/>
          <w:sz w:val="24"/>
          <w:szCs w:val="24"/>
        </w:rPr>
        <w:t xml:space="preserve">, direttore provinciale di Ascoli Piceno di Unico </w:t>
      </w:r>
      <w:r w:rsidR="00F8404F">
        <w:rPr>
          <w:rFonts w:ascii="Times New Roman" w:hAnsi="Times New Roman" w:cs="Times New Roman"/>
          <w:bCs/>
          <w:sz w:val="24"/>
          <w:szCs w:val="24"/>
        </w:rPr>
        <w:t>–</w:t>
      </w:r>
      <w:r>
        <w:rPr>
          <w:rFonts w:ascii="Times New Roman" w:hAnsi="Times New Roman" w:cs="Times New Roman"/>
          <w:bCs/>
          <w:sz w:val="24"/>
          <w:szCs w:val="24"/>
        </w:rPr>
        <w:t xml:space="preserve"> </w:t>
      </w:r>
      <w:r w:rsidR="00F8404F">
        <w:rPr>
          <w:rFonts w:ascii="Times New Roman" w:hAnsi="Times New Roman" w:cs="Times New Roman"/>
          <w:bCs/>
          <w:sz w:val="24"/>
          <w:szCs w:val="24"/>
        </w:rPr>
        <w:t xml:space="preserve">e </w:t>
      </w:r>
      <w:r w:rsidR="007D5789">
        <w:rPr>
          <w:rFonts w:ascii="Times New Roman" w:hAnsi="Times New Roman" w:cs="Times New Roman"/>
          <w:bCs/>
          <w:sz w:val="24"/>
          <w:szCs w:val="24"/>
        </w:rPr>
        <w:t xml:space="preserve">lo </w:t>
      </w:r>
      <w:r w:rsidR="00F8404F">
        <w:rPr>
          <w:rFonts w:ascii="Times New Roman" w:hAnsi="Times New Roman" w:cs="Times New Roman"/>
          <w:bCs/>
          <w:sz w:val="24"/>
          <w:szCs w:val="24"/>
        </w:rPr>
        <w:t xml:space="preserve">stesso discorso si può fare per la possibilità di agganciare finanziamenti a tassi indubbiamente agevolati. Proprio </w:t>
      </w:r>
      <w:r w:rsidR="00D0132E">
        <w:rPr>
          <w:rFonts w:ascii="Times New Roman" w:hAnsi="Times New Roman" w:cs="Times New Roman"/>
          <w:bCs/>
          <w:sz w:val="24"/>
          <w:szCs w:val="24"/>
        </w:rPr>
        <w:t>per non lasciare indietro nessuno abbiamo deciso di attivare un vero e proprio tou</w:t>
      </w:r>
      <w:r w:rsidR="00882D11">
        <w:rPr>
          <w:rFonts w:ascii="Times New Roman" w:hAnsi="Times New Roman" w:cs="Times New Roman"/>
          <w:bCs/>
          <w:sz w:val="24"/>
          <w:szCs w:val="24"/>
        </w:rPr>
        <w:t>r</w:t>
      </w:r>
      <w:r w:rsidR="00D0132E">
        <w:rPr>
          <w:rFonts w:ascii="Times New Roman" w:hAnsi="Times New Roman" w:cs="Times New Roman"/>
          <w:bCs/>
          <w:sz w:val="24"/>
          <w:szCs w:val="24"/>
        </w:rPr>
        <w:t xml:space="preserve"> porta a porta per le aziende, per informarle e farle riprendere un cammino virtuoso già intrapreso ma che, almeno nelle aspettative </w:t>
      </w:r>
      <w:r w:rsidR="008A2D5F">
        <w:rPr>
          <w:rFonts w:ascii="Times New Roman" w:hAnsi="Times New Roman" w:cs="Times New Roman"/>
          <w:bCs/>
          <w:sz w:val="24"/>
          <w:szCs w:val="24"/>
        </w:rPr>
        <w:t xml:space="preserve">di molti </w:t>
      </w:r>
      <w:r w:rsidR="00D0132E">
        <w:rPr>
          <w:rFonts w:ascii="Times New Roman" w:hAnsi="Times New Roman" w:cs="Times New Roman"/>
          <w:bCs/>
          <w:sz w:val="24"/>
          <w:szCs w:val="24"/>
        </w:rPr>
        <w:t xml:space="preserve"> titolari, in questo 2020 sembra non proseguibile</w:t>
      </w:r>
      <w:r>
        <w:rPr>
          <w:rFonts w:ascii="Times New Roman" w:hAnsi="Times New Roman" w:cs="Times New Roman"/>
          <w:bCs/>
          <w:sz w:val="24"/>
          <w:szCs w:val="24"/>
        </w:rPr>
        <w:t xml:space="preserve">. La sfida è che in questo contesto dinamico, fatto di trasformazioni </w:t>
      </w:r>
      <w:r w:rsidR="008A2D5F">
        <w:rPr>
          <w:rFonts w:ascii="Times New Roman" w:hAnsi="Times New Roman" w:cs="Times New Roman"/>
          <w:bCs/>
          <w:sz w:val="24"/>
          <w:szCs w:val="24"/>
        </w:rPr>
        <w:t xml:space="preserve">ma </w:t>
      </w:r>
      <w:r>
        <w:rPr>
          <w:rFonts w:ascii="Times New Roman" w:hAnsi="Times New Roman" w:cs="Times New Roman"/>
          <w:bCs/>
          <w:sz w:val="24"/>
          <w:szCs w:val="24"/>
        </w:rPr>
        <w:t xml:space="preserve">anche di problematiche, per chi opera nel credito è sempre più difficile fornire supporto e sostegno alle imprese. Da qui la missione di Unico, volta sia ad  agevolare e ben indirizzare gli investimenti, sia </w:t>
      </w:r>
      <w:r w:rsidR="008A2D5F">
        <w:rPr>
          <w:rFonts w:ascii="Times New Roman" w:hAnsi="Times New Roman" w:cs="Times New Roman"/>
          <w:bCs/>
          <w:sz w:val="24"/>
          <w:szCs w:val="24"/>
        </w:rPr>
        <w:t>a</w:t>
      </w:r>
      <w:r>
        <w:rPr>
          <w:rFonts w:ascii="Times New Roman" w:hAnsi="Times New Roman" w:cs="Times New Roman"/>
          <w:bCs/>
          <w:sz w:val="24"/>
          <w:szCs w:val="24"/>
        </w:rPr>
        <w:t xml:space="preserve"> contrastare le tante difficoltà che l’</w:t>
      </w:r>
      <w:r w:rsidR="00AF4022">
        <w:rPr>
          <w:rFonts w:ascii="Times New Roman" w:hAnsi="Times New Roman" w:cs="Times New Roman"/>
          <w:bCs/>
          <w:sz w:val="24"/>
          <w:szCs w:val="24"/>
        </w:rPr>
        <w:t>impresa trova sul proprio cammin</w:t>
      </w:r>
      <w:r>
        <w:rPr>
          <w:rFonts w:ascii="Times New Roman" w:hAnsi="Times New Roman" w:cs="Times New Roman"/>
          <w:bCs/>
          <w:sz w:val="24"/>
          <w:szCs w:val="24"/>
        </w:rPr>
        <w:t>o</w:t>
      </w:r>
      <w:r w:rsidR="00D0132E">
        <w:rPr>
          <w:rFonts w:ascii="Times New Roman" w:hAnsi="Times New Roman" w:cs="Times New Roman"/>
          <w:bCs/>
          <w:sz w:val="24"/>
          <w:szCs w:val="24"/>
        </w:rPr>
        <w:t>”.</w:t>
      </w:r>
    </w:p>
    <w:p w:rsidR="009360A4" w:rsidRDefault="009360A4" w:rsidP="00FA0363">
      <w:pPr>
        <w:spacing w:after="0" w:line="240" w:lineRule="auto"/>
        <w:jc w:val="center"/>
        <w:rPr>
          <w:rFonts w:ascii="Arial" w:hAnsi="Arial" w:cs="Arial"/>
          <w:b/>
          <w:bCs/>
          <w:sz w:val="24"/>
          <w:szCs w:val="24"/>
        </w:rPr>
      </w:pPr>
    </w:p>
    <w:p w:rsidR="009360A4" w:rsidRDefault="009360A4" w:rsidP="00FA0363">
      <w:pPr>
        <w:spacing w:after="0" w:line="240" w:lineRule="auto"/>
        <w:jc w:val="center"/>
        <w:rPr>
          <w:rFonts w:ascii="Arial" w:hAnsi="Arial" w:cs="Arial"/>
          <w:b/>
          <w:bCs/>
          <w:sz w:val="24"/>
          <w:szCs w:val="24"/>
        </w:rPr>
      </w:pPr>
    </w:p>
    <w:p w:rsidR="00636AA5" w:rsidRDefault="00D83D87" w:rsidP="00FA0363">
      <w:pPr>
        <w:spacing w:after="0" w:line="240" w:lineRule="auto"/>
        <w:jc w:val="center"/>
        <w:rPr>
          <w:rFonts w:ascii="Arial" w:hAnsi="Arial" w:cs="Arial"/>
          <w:b/>
          <w:bCs/>
          <w:sz w:val="24"/>
          <w:szCs w:val="24"/>
        </w:rPr>
      </w:pPr>
      <w:r w:rsidRPr="00D83D87">
        <w:rPr>
          <w:rFonts w:ascii="Arial" w:hAnsi="Arial" w:cs="Arial"/>
          <w:b/>
          <w:bCs/>
          <w:sz w:val="24"/>
          <w:szCs w:val="24"/>
        </w:rPr>
        <w:t>La congiuntura della micro</w:t>
      </w:r>
      <w:r w:rsidR="00562203">
        <w:rPr>
          <w:rFonts w:ascii="Arial" w:hAnsi="Arial" w:cs="Arial"/>
          <w:b/>
          <w:bCs/>
          <w:sz w:val="24"/>
          <w:szCs w:val="24"/>
        </w:rPr>
        <w:t xml:space="preserve"> e piccola </w:t>
      </w:r>
      <w:r w:rsidRPr="00D83D87">
        <w:rPr>
          <w:rFonts w:ascii="Arial" w:hAnsi="Arial" w:cs="Arial"/>
          <w:b/>
          <w:bCs/>
          <w:sz w:val="24"/>
          <w:szCs w:val="24"/>
        </w:rPr>
        <w:t>impresa nella p</w:t>
      </w:r>
      <w:r w:rsidR="001F2AFA" w:rsidRPr="00D83D87">
        <w:rPr>
          <w:rFonts w:ascii="Arial" w:hAnsi="Arial" w:cs="Arial"/>
          <w:b/>
          <w:bCs/>
          <w:sz w:val="24"/>
          <w:szCs w:val="24"/>
        </w:rPr>
        <w:t>rovincia di Ascoli Piceno</w:t>
      </w:r>
      <w:r w:rsidR="00FA0363">
        <w:rPr>
          <w:rFonts w:ascii="Arial" w:hAnsi="Arial" w:cs="Arial"/>
          <w:b/>
          <w:bCs/>
          <w:sz w:val="24"/>
          <w:szCs w:val="24"/>
        </w:rPr>
        <w:t>.</w:t>
      </w:r>
    </w:p>
    <w:p w:rsidR="00FA0363" w:rsidRPr="00D83D87" w:rsidRDefault="00FA0363" w:rsidP="00FA0363">
      <w:pPr>
        <w:spacing w:after="0" w:line="240" w:lineRule="auto"/>
        <w:jc w:val="center"/>
        <w:rPr>
          <w:rFonts w:ascii="Arial" w:hAnsi="Arial" w:cs="Arial"/>
          <w:b/>
          <w:bCs/>
          <w:sz w:val="24"/>
          <w:szCs w:val="24"/>
        </w:rPr>
      </w:pPr>
      <w:r>
        <w:rPr>
          <w:rFonts w:ascii="Arial" w:hAnsi="Arial" w:cs="Arial"/>
          <w:b/>
          <w:bCs/>
          <w:sz w:val="24"/>
          <w:szCs w:val="24"/>
        </w:rPr>
        <w:t>Come è terminato il 2019 e cosa si prevede per la prima parte del 2020</w:t>
      </w:r>
    </w:p>
    <w:p w:rsidR="00FA0363" w:rsidRDefault="00FA0363" w:rsidP="008B119C">
      <w:pPr>
        <w:jc w:val="both"/>
        <w:rPr>
          <w:rFonts w:ascii="Arial" w:hAnsi="Arial" w:cs="Arial"/>
          <w:sz w:val="24"/>
          <w:szCs w:val="24"/>
        </w:rPr>
      </w:pPr>
    </w:p>
    <w:p w:rsidR="001F2AFA" w:rsidRPr="00D83D87" w:rsidRDefault="005D684C" w:rsidP="008B119C">
      <w:pPr>
        <w:jc w:val="both"/>
        <w:rPr>
          <w:rFonts w:ascii="Arial" w:hAnsi="Arial" w:cs="Arial"/>
          <w:sz w:val="24"/>
          <w:szCs w:val="24"/>
        </w:rPr>
      </w:pPr>
      <w:r w:rsidRPr="00D83D87">
        <w:rPr>
          <w:rFonts w:ascii="Arial" w:hAnsi="Arial" w:cs="Arial"/>
          <w:sz w:val="24"/>
          <w:szCs w:val="24"/>
        </w:rPr>
        <w:t xml:space="preserve">Secondo la </w:t>
      </w:r>
      <w:proofErr w:type="spellStart"/>
      <w:r w:rsidRPr="00D83D87">
        <w:rPr>
          <w:rFonts w:ascii="Arial" w:hAnsi="Arial" w:cs="Arial"/>
          <w:sz w:val="24"/>
          <w:szCs w:val="24"/>
        </w:rPr>
        <w:t>C</w:t>
      </w:r>
      <w:r w:rsidR="00EF7EBF">
        <w:rPr>
          <w:rFonts w:ascii="Arial" w:hAnsi="Arial" w:cs="Arial"/>
          <w:sz w:val="24"/>
          <w:szCs w:val="24"/>
        </w:rPr>
        <w:t>na</w:t>
      </w:r>
      <w:proofErr w:type="spellEnd"/>
      <w:r w:rsidRPr="00D83D87">
        <w:rPr>
          <w:rFonts w:ascii="Arial" w:hAnsi="Arial" w:cs="Arial"/>
          <w:sz w:val="24"/>
          <w:szCs w:val="24"/>
        </w:rPr>
        <w:t xml:space="preserve"> della provincia di Ascoli Piceno, che ha condotto una verifica sul territorio </w:t>
      </w:r>
      <w:r w:rsidR="007529A1" w:rsidRPr="00D83D87">
        <w:rPr>
          <w:rFonts w:ascii="Arial" w:hAnsi="Arial" w:cs="Arial"/>
          <w:sz w:val="24"/>
          <w:szCs w:val="24"/>
        </w:rPr>
        <w:t>interpellando una sessantina di imprese</w:t>
      </w:r>
      <w:r w:rsidR="00594DE1">
        <w:rPr>
          <w:rFonts w:ascii="Arial" w:hAnsi="Arial" w:cs="Arial"/>
          <w:sz w:val="24"/>
          <w:szCs w:val="24"/>
        </w:rPr>
        <w:t xml:space="preserve"> artigiane</w:t>
      </w:r>
      <w:r w:rsidR="007529A1" w:rsidRPr="00D83D87">
        <w:rPr>
          <w:rFonts w:ascii="Arial" w:hAnsi="Arial" w:cs="Arial"/>
          <w:sz w:val="24"/>
          <w:szCs w:val="24"/>
        </w:rPr>
        <w:t>, il 201</w:t>
      </w:r>
      <w:r w:rsidR="00D83D87">
        <w:rPr>
          <w:rFonts w:ascii="Arial" w:hAnsi="Arial" w:cs="Arial"/>
          <w:sz w:val="24"/>
          <w:szCs w:val="24"/>
        </w:rPr>
        <w:t>9</w:t>
      </w:r>
      <w:r w:rsidR="007529A1" w:rsidRPr="00D83D87">
        <w:rPr>
          <w:rFonts w:ascii="Arial" w:hAnsi="Arial" w:cs="Arial"/>
          <w:sz w:val="24"/>
          <w:szCs w:val="24"/>
        </w:rPr>
        <w:t xml:space="preserve"> si è chiuso </w:t>
      </w:r>
      <w:r w:rsidR="008B119C" w:rsidRPr="00D83D87">
        <w:rPr>
          <w:rFonts w:ascii="Arial" w:hAnsi="Arial" w:cs="Arial"/>
          <w:sz w:val="24"/>
          <w:szCs w:val="24"/>
        </w:rPr>
        <w:t xml:space="preserve">in positivo per le manifatture </w:t>
      </w:r>
      <w:r w:rsidR="0018666B" w:rsidRPr="00D83D87">
        <w:rPr>
          <w:rFonts w:ascii="Arial" w:hAnsi="Arial" w:cs="Arial"/>
          <w:sz w:val="24"/>
          <w:szCs w:val="24"/>
        </w:rPr>
        <w:t xml:space="preserve">(32% con attività in aumento, 18% con attività in calo) </w:t>
      </w:r>
      <w:r w:rsidR="008B119C" w:rsidRPr="00D83D87">
        <w:rPr>
          <w:rFonts w:ascii="Arial" w:hAnsi="Arial" w:cs="Arial"/>
          <w:sz w:val="24"/>
          <w:szCs w:val="24"/>
        </w:rPr>
        <w:t xml:space="preserve">e orientato alla stabilità </w:t>
      </w:r>
      <w:r w:rsidR="0018666B" w:rsidRPr="00D83D87">
        <w:rPr>
          <w:rFonts w:ascii="Arial" w:hAnsi="Arial" w:cs="Arial"/>
          <w:sz w:val="24"/>
          <w:szCs w:val="24"/>
        </w:rPr>
        <w:t xml:space="preserve">(70% delle imprese) </w:t>
      </w:r>
      <w:r w:rsidR="008B119C" w:rsidRPr="00D83D87">
        <w:rPr>
          <w:rFonts w:ascii="Arial" w:hAnsi="Arial" w:cs="Arial"/>
          <w:sz w:val="24"/>
          <w:szCs w:val="24"/>
        </w:rPr>
        <w:t xml:space="preserve">per i servizi. Per il complesso delle imprese prevalgono seppur di poco i casi imprese con attività in crescita rispetto </w:t>
      </w:r>
      <w:r w:rsidR="0018666B" w:rsidRPr="00D83D87">
        <w:rPr>
          <w:rFonts w:ascii="Arial" w:hAnsi="Arial" w:cs="Arial"/>
          <w:sz w:val="24"/>
          <w:szCs w:val="24"/>
        </w:rPr>
        <w:t>a quelli in diminuzione (22% contro 17%).</w:t>
      </w:r>
    </w:p>
    <w:p w:rsidR="00AE44BA" w:rsidRPr="00594DE1" w:rsidRDefault="008B119C" w:rsidP="00594DE1">
      <w:pPr>
        <w:spacing w:after="0" w:line="240" w:lineRule="auto"/>
        <w:jc w:val="center"/>
        <w:rPr>
          <w:rFonts w:ascii="Arial" w:hAnsi="Arial" w:cs="Arial"/>
          <w:sz w:val="24"/>
          <w:szCs w:val="24"/>
        </w:rPr>
      </w:pPr>
      <w:r w:rsidRPr="00594DE1">
        <w:rPr>
          <w:rFonts w:ascii="Arial" w:hAnsi="Arial" w:cs="Arial"/>
          <w:sz w:val="24"/>
          <w:szCs w:val="24"/>
        </w:rPr>
        <w:t xml:space="preserve">La </w:t>
      </w:r>
      <w:r w:rsidR="00AE44BA" w:rsidRPr="00594DE1">
        <w:rPr>
          <w:rFonts w:ascii="Arial" w:hAnsi="Arial" w:cs="Arial"/>
          <w:sz w:val="24"/>
          <w:szCs w:val="24"/>
        </w:rPr>
        <w:t xml:space="preserve">congiuntura </w:t>
      </w:r>
      <w:r w:rsidRPr="00594DE1">
        <w:rPr>
          <w:rFonts w:ascii="Arial" w:hAnsi="Arial" w:cs="Arial"/>
          <w:sz w:val="24"/>
          <w:szCs w:val="24"/>
        </w:rPr>
        <w:t xml:space="preserve">– situazione livelli di </w:t>
      </w:r>
      <w:r w:rsidR="00AE44BA" w:rsidRPr="00594DE1">
        <w:rPr>
          <w:rFonts w:ascii="Arial" w:hAnsi="Arial" w:cs="Arial"/>
          <w:sz w:val="24"/>
          <w:szCs w:val="24"/>
        </w:rPr>
        <w:t>attività (rispetto al</w:t>
      </w:r>
      <w:r w:rsidR="002D58B4" w:rsidRPr="00594DE1">
        <w:rPr>
          <w:rFonts w:ascii="Arial" w:hAnsi="Arial" w:cs="Arial"/>
          <w:sz w:val="24"/>
          <w:szCs w:val="24"/>
        </w:rPr>
        <w:t xml:space="preserve"> </w:t>
      </w:r>
      <w:r w:rsidR="00AE44BA" w:rsidRPr="00594DE1">
        <w:rPr>
          <w:rFonts w:ascii="Arial" w:hAnsi="Arial" w:cs="Arial"/>
          <w:sz w:val="24"/>
          <w:szCs w:val="24"/>
        </w:rPr>
        <w:t>semestre precedente)</w:t>
      </w:r>
    </w:p>
    <w:p w:rsidR="00594DE1" w:rsidRPr="00594DE1" w:rsidRDefault="00594DE1" w:rsidP="00594DE1">
      <w:pPr>
        <w:spacing w:after="0" w:line="240" w:lineRule="auto"/>
        <w:jc w:val="center"/>
        <w:rPr>
          <w:rFonts w:ascii="Arial" w:eastAsia="Times New Roman" w:hAnsi="Arial" w:cs="Arial"/>
          <w:i/>
          <w:iCs/>
          <w:color w:val="000000"/>
          <w:sz w:val="24"/>
          <w:szCs w:val="24"/>
          <w:lang w:eastAsia="it-IT"/>
        </w:rPr>
      </w:pPr>
      <w:r w:rsidRPr="00594DE1">
        <w:rPr>
          <w:rFonts w:ascii="Arial" w:eastAsia="Times New Roman" w:hAnsi="Arial" w:cs="Arial"/>
          <w:i/>
          <w:iCs/>
          <w:color w:val="000000"/>
          <w:sz w:val="24"/>
          <w:szCs w:val="24"/>
          <w:lang w:eastAsia="it-IT"/>
        </w:rPr>
        <w:t>quote% di imprese per situazione</w:t>
      </w:r>
    </w:p>
    <w:p w:rsidR="00594DE1" w:rsidRPr="00D83D87" w:rsidRDefault="00594DE1" w:rsidP="00AE44BA">
      <w:pPr>
        <w:jc w:val="center"/>
        <w:rPr>
          <w:rFonts w:ascii="Arial" w:hAnsi="Arial" w:cs="Arial"/>
          <w:b/>
          <w:bCs/>
          <w:sz w:val="24"/>
          <w:szCs w:val="24"/>
        </w:rPr>
      </w:pPr>
    </w:p>
    <w:p w:rsidR="00AE44BA" w:rsidRPr="00D83D87" w:rsidRDefault="0018666B" w:rsidP="00AE44BA">
      <w:pPr>
        <w:jc w:val="center"/>
        <w:rPr>
          <w:rFonts w:ascii="Arial" w:hAnsi="Arial" w:cs="Arial"/>
          <w:sz w:val="24"/>
          <w:szCs w:val="24"/>
        </w:rPr>
      </w:pPr>
      <w:r w:rsidRPr="00D83D87">
        <w:rPr>
          <w:noProof/>
          <w:sz w:val="24"/>
          <w:szCs w:val="24"/>
          <w:lang w:eastAsia="it-IT"/>
        </w:rPr>
        <w:drawing>
          <wp:inline distT="0" distB="0" distL="0" distR="0">
            <wp:extent cx="4238046" cy="2242268"/>
            <wp:effectExtent l="0" t="0" r="0" b="5715"/>
            <wp:docPr id="11" name="Grafico 1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5CCDC1-173A-490E-8784-D9D0EB90B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83D87" w:rsidRPr="00D83D87" w:rsidRDefault="00D83D87" w:rsidP="00D83D87">
      <w:pPr>
        <w:jc w:val="both"/>
        <w:rPr>
          <w:rFonts w:ascii="Arial" w:hAnsi="Arial" w:cs="Arial"/>
          <w:sz w:val="24"/>
          <w:szCs w:val="24"/>
        </w:rPr>
      </w:pPr>
      <w:r>
        <w:rPr>
          <w:rFonts w:ascii="Arial" w:hAnsi="Arial" w:cs="Arial"/>
          <w:sz w:val="24"/>
          <w:szCs w:val="24"/>
        </w:rPr>
        <w:t xml:space="preserve">La congiuntura della seconda parte del 2019 è stata favorevole per le produzioni alimentari, per il tessile abbigliamento e la meccanica delle lavorazioni metalliche e dei prodotti in metallo; è stata stagnante per le calzature e pelletterie; negativa per le altre manifatture. </w:t>
      </w:r>
    </w:p>
    <w:p w:rsidR="00594DE1" w:rsidRPr="00594DE1" w:rsidRDefault="001F2AFA" w:rsidP="001F2AFA">
      <w:pPr>
        <w:spacing w:after="0" w:line="240" w:lineRule="auto"/>
        <w:jc w:val="center"/>
        <w:rPr>
          <w:rFonts w:ascii="Arial" w:eastAsia="Times New Roman" w:hAnsi="Arial" w:cs="Arial"/>
          <w:color w:val="000000"/>
          <w:sz w:val="24"/>
          <w:szCs w:val="24"/>
          <w:lang w:eastAsia="it-IT"/>
        </w:rPr>
      </w:pPr>
      <w:r w:rsidRPr="001F2AFA">
        <w:rPr>
          <w:rFonts w:ascii="Arial" w:eastAsia="Times New Roman" w:hAnsi="Arial" w:cs="Arial"/>
          <w:color w:val="000000"/>
          <w:sz w:val="24"/>
          <w:szCs w:val="24"/>
          <w:lang w:eastAsia="it-IT"/>
        </w:rPr>
        <w:t xml:space="preserve">congiuntura dell'attività (rispetto al semestre precedente) </w:t>
      </w:r>
      <w:r w:rsidR="00594DE1" w:rsidRPr="00594DE1">
        <w:rPr>
          <w:rFonts w:ascii="Arial" w:eastAsia="Times New Roman" w:hAnsi="Arial" w:cs="Arial"/>
          <w:color w:val="000000"/>
          <w:sz w:val="24"/>
          <w:szCs w:val="24"/>
          <w:lang w:eastAsia="it-IT"/>
        </w:rPr>
        <w:t>–</w:t>
      </w:r>
      <w:r w:rsidRPr="001F2AFA">
        <w:rPr>
          <w:rFonts w:ascii="Arial" w:eastAsia="Times New Roman" w:hAnsi="Arial" w:cs="Arial"/>
          <w:color w:val="000000"/>
          <w:sz w:val="24"/>
          <w:szCs w:val="24"/>
          <w:lang w:eastAsia="it-IT"/>
        </w:rPr>
        <w:t xml:space="preserve"> manifattur</w:t>
      </w:r>
      <w:r w:rsidR="002D58B4" w:rsidRPr="00594DE1">
        <w:rPr>
          <w:rFonts w:ascii="Arial" w:eastAsia="Times New Roman" w:hAnsi="Arial" w:cs="Arial"/>
          <w:color w:val="000000"/>
          <w:sz w:val="24"/>
          <w:szCs w:val="24"/>
          <w:lang w:eastAsia="it-IT"/>
        </w:rPr>
        <w:t>e</w:t>
      </w:r>
    </w:p>
    <w:p w:rsidR="00594DE1" w:rsidRPr="00594DE1" w:rsidRDefault="00594DE1" w:rsidP="00594DE1">
      <w:pPr>
        <w:spacing w:after="0" w:line="240" w:lineRule="auto"/>
        <w:jc w:val="center"/>
        <w:rPr>
          <w:rFonts w:ascii="Arial" w:eastAsia="Times New Roman" w:hAnsi="Arial" w:cs="Arial"/>
          <w:i/>
          <w:iCs/>
          <w:color w:val="000000"/>
          <w:sz w:val="24"/>
          <w:szCs w:val="24"/>
          <w:lang w:eastAsia="it-IT"/>
        </w:rPr>
      </w:pPr>
      <w:r w:rsidRPr="00594DE1">
        <w:rPr>
          <w:rFonts w:ascii="Arial" w:eastAsia="Times New Roman" w:hAnsi="Arial" w:cs="Arial"/>
          <w:i/>
          <w:iCs/>
          <w:color w:val="000000"/>
          <w:sz w:val="24"/>
          <w:szCs w:val="24"/>
          <w:lang w:eastAsia="it-IT"/>
        </w:rPr>
        <w:t>quote% di imprese per situazione</w:t>
      </w:r>
    </w:p>
    <w:p w:rsidR="001F2AFA" w:rsidRPr="00D83D87" w:rsidRDefault="002D58B4" w:rsidP="001F2AFA">
      <w:pPr>
        <w:spacing w:after="0" w:line="240" w:lineRule="auto"/>
        <w:jc w:val="center"/>
        <w:rPr>
          <w:rFonts w:ascii="Arial" w:eastAsia="Times New Roman" w:hAnsi="Arial" w:cs="Arial"/>
          <w:b/>
          <w:bCs/>
          <w:color w:val="000000"/>
          <w:sz w:val="24"/>
          <w:szCs w:val="24"/>
          <w:lang w:eastAsia="it-IT"/>
        </w:rPr>
      </w:pPr>
      <w:r w:rsidRPr="00D83D87">
        <w:rPr>
          <w:rFonts w:ascii="Arial" w:hAnsi="Arial" w:cs="Arial"/>
          <w:noProof/>
          <w:sz w:val="24"/>
          <w:szCs w:val="24"/>
          <w:lang w:eastAsia="it-IT"/>
        </w:rPr>
        <w:drawing>
          <wp:inline distT="0" distB="0" distL="0" distR="0">
            <wp:extent cx="4548146" cy="2738451"/>
            <wp:effectExtent l="0" t="0" r="5080" b="5080"/>
            <wp:docPr id="8" name="Grafico 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6D5C72-45D9-4E3D-9650-A204CAB0F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83D87" w:rsidRDefault="00D83D87" w:rsidP="00077A2D">
      <w:pPr>
        <w:spacing w:after="0" w:line="240" w:lineRule="auto"/>
        <w:jc w:val="center"/>
        <w:rPr>
          <w:rFonts w:ascii="Arial" w:eastAsia="Times New Roman" w:hAnsi="Arial" w:cs="Arial"/>
          <w:color w:val="000000"/>
          <w:sz w:val="24"/>
          <w:szCs w:val="24"/>
          <w:lang w:eastAsia="it-IT"/>
        </w:rPr>
      </w:pPr>
    </w:p>
    <w:p w:rsidR="00D83D87" w:rsidRDefault="00D83D87" w:rsidP="00D83D87">
      <w:pPr>
        <w:spacing w:after="0" w:line="240" w:lineRule="auto"/>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La congiuntura dei servizi è risultata orientata in negativo soprattutto per le riparazioni veicoli  (33% delle imprese con livello di attività in calo) e degli altri servizi (che sono le attività </w:t>
      </w:r>
      <w:r w:rsidR="00594DE1">
        <w:rPr>
          <w:rFonts w:ascii="Arial" w:eastAsia="Times New Roman" w:hAnsi="Arial" w:cs="Arial"/>
          <w:color w:val="000000"/>
          <w:sz w:val="24"/>
          <w:szCs w:val="24"/>
          <w:lang w:eastAsia="it-IT"/>
        </w:rPr>
        <w:t xml:space="preserve">di servizio alle imprese: 25% di imprese con attività in calo). </w:t>
      </w:r>
    </w:p>
    <w:p w:rsidR="00D83D87" w:rsidRDefault="00D83D87" w:rsidP="00077A2D">
      <w:pPr>
        <w:spacing w:after="0" w:line="240" w:lineRule="auto"/>
        <w:jc w:val="center"/>
        <w:rPr>
          <w:rFonts w:ascii="Arial" w:eastAsia="Times New Roman" w:hAnsi="Arial" w:cs="Arial"/>
          <w:color w:val="000000"/>
          <w:sz w:val="24"/>
          <w:szCs w:val="24"/>
          <w:lang w:eastAsia="it-IT"/>
        </w:rPr>
      </w:pPr>
    </w:p>
    <w:p w:rsidR="00077A2D" w:rsidRDefault="00077A2D" w:rsidP="00077A2D">
      <w:pPr>
        <w:spacing w:after="0" w:line="240" w:lineRule="auto"/>
        <w:jc w:val="center"/>
        <w:rPr>
          <w:rFonts w:ascii="Arial" w:eastAsia="Times New Roman" w:hAnsi="Arial" w:cs="Arial"/>
          <w:color w:val="000000"/>
          <w:sz w:val="24"/>
          <w:szCs w:val="24"/>
          <w:lang w:eastAsia="it-IT"/>
        </w:rPr>
      </w:pPr>
      <w:r w:rsidRPr="00077A2D">
        <w:rPr>
          <w:rFonts w:ascii="Arial" w:eastAsia="Times New Roman" w:hAnsi="Arial" w:cs="Arial"/>
          <w:color w:val="000000"/>
          <w:sz w:val="24"/>
          <w:szCs w:val="24"/>
          <w:lang w:eastAsia="it-IT"/>
        </w:rPr>
        <w:t xml:space="preserve">congiuntura dell'attività (rispetto al semestre precedente) </w:t>
      </w:r>
      <w:r w:rsidR="00594DE1">
        <w:rPr>
          <w:rFonts w:ascii="Arial" w:eastAsia="Times New Roman" w:hAnsi="Arial" w:cs="Arial"/>
          <w:color w:val="000000"/>
          <w:sz w:val="24"/>
          <w:szCs w:val="24"/>
          <w:lang w:eastAsia="it-IT"/>
        </w:rPr>
        <w:t>–</w:t>
      </w:r>
      <w:r w:rsidRPr="00077A2D">
        <w:rPr>
          <w:rFonts w:ascii="Arial" w:eastAsia="Times New Roman" w:hAnsi="Arial" w:cs="Arial"/>
          <w:color w:val="000000"/>
          <w:sz w:val="24"/>
          <w:szCs w:val="24"/>
          <w:lang w:eastAsia="it-IT"/>
        </w:rPr>
        <w:t xml:space="preserve"> servizi</w:t>
      </w:r>
    </w:p>
    <w:p w:rsidR="00594DE1" w:rsidRPr="00594DE1" w:rsidRDefault="00594DE1" w:rsidP="00077A2D">
      <w:pPr>
        <w:spacing w:after="0" w:line="240" w:lineRule="auto"/>
        <w:jc w:val="center"/>
        <w:rPr>
          <w:rFonts w:ascii="Arial" w:eastAsia="Times New Roman" w:hAnsi="Arial" w:cs="Arial"/>
          <w:i/>
          <w:iCs/>
          <w:color w:val="000000"/>
          <w:sz w:val="24"/>
          <w:szCs w:val="24"/>
          <w:lang w:eastAsia="it-IT"/>
        </w:rPr>
      </w:pPr>
      <w:r w:rsidRPr="00594DE1">
        <w:rPr>
          <w:rFonts w:ascii="Arial" w:eastAsia="Times New Roman" w:hAnsi="Arial" w:cs="Arial"/>
          <w:i/>
          <w:iCs/>
          <w:color w:val="000000"/>
          <w:sz w:val="24"/>
          <w:szCs w:val="24"/>
          <w:lang w:eastAsia="it-IT"/>
        </w:rPr>
        <w:t>quote% di imprese per situazione</w:t>
      </w:r>
    </w:p>
    <w:p w:rsidR="001F2AFA" w:rsidRPr="00D83D87" w:rsidRDefault="007529A1" w:rsidP="00CF7EC2">
      <w:pPr>
        <w:jc w:val="center"/>
        <w:rPr>
          <w:rFonts w:ascii="Arial" w:hAnsi="Arial" w:cs="Arial"/>
          <w:sz w:val="24"/>
          <w:szCs w:val="24"/>
        </w:rPr>
      </w:pPr>
      <w:r w:rsidRPr="00D83D87">
        <w:rPr>
          <w:rFonts w:ascii="Arial" w:hAnsi="Arial" w:cs="Arial"/>
          <w:noProof/>
          <w:sz w:val="24"/>
          <w:szCs w:val="24"/>
          <w:lang w:eastAsia="it-IT"/>
        </w:rPr>
        <w:drawing>
          <wp:inline distT="0" distB="0" distL="0" distR="0">
            <wp:extent cx="4253948" cy="2655736"/>
            <wp:effectExtent l="0" t="0" r="0" b="0"/>
            <wp:docPr id="7" name="Grafico 7">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EFBA0B-8780-4FCD-ADA6-034CCA78C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F2AFA" w:rsidRPr="00D83D87" w:rsidRDefault="00594DE1">
      <w:pPr>
        <w:rPr>
          <w:rFonts w:ascii="Arial" w:hAnsi="Arial" w:cs="Arial"/>
          <w:sz w:val="24"/>
          <w:szCs w:val="24"/>
        </w:rPr>
      </w:pPr>
      <w:r>
        <w:rPr>
          <w:rFonts w:ascii="Arial" w:hAnsi="Arial" w:cs="Arial"/>
          <w:sz w:val="24"/>
          <w:szCs w:val="24"/>
        </w:rPr>
        <w:t xml:space="preserve">Le imprese artigiane che hanno investito sono state </w:t>
      </w:r>
      <w:r w:rsidR="00FA0363">
        <w:rPr>
          <w:rFonts w:ascii="Arial" w:hAnsi="Arial" w:cs="Arial"/>
          <w:sz w:val="24"/>
          <w:szCs w:val="24"/>
        </w:rPr>
        <w:t xml:space="preserve">il 22%. Tale quota aumenta fino al 67% per le altre manifatture e al 43 per le trasformazioni alimentari. Cala a zero per le attività del sistema moda e per i servizi alle imprese.    </w:t>
      </w:r>
    </w:p>
    <w:p w:rsidR="001F2AFA" w:rsidRPr="00594DE1" w:rsidRDefault="001F2AFA" w:rsidP="001F2AFA">
      <w:pPr>
        <w:spacing w:after="0" w:line="240" w:lineRule="auto"/>
        <w:jc w:val="center"/>
        <w:rPr>
          <w:rFonts w:ascii="Arial" w:eastAsia="Times New Roman" w:hAnsi="Arial" w:cs="Arial"/>
          <w:color w:val="000000"/>
          <w:sz w:val="24"/>
          <w:szCs w:val="24"/>
          <w:lang w:eastAsia="it-IT"/>
        </w:rPr>
      </w:pPr>
      <w:r w:rsidRPr="001F2AFA">
        <w:rPr>
          <w:rFonts w:ascii="Arial" w:eastAsia="Times New Roman" w:hAnsi="Arial" w:cs="Arial"/>
          <w:color w:val="000000"/>
          <w:sz w:val="24"/>
          <w:szCs w:val="24"/>
          <w:lang w:eastAsia="it-IT"/>
        </w:rPr>
        <w:t>Diffusione degli investimenti</w:t>
      </w:r>
    </w:p>
    <w:p w:rsidR="00594DE1" w:rsidRPr="00594DE1" w:rsidRDefault="00594DE1" w:rsidP="00594DE1">
      <w:pPr>
        <w:spacing w:after="0" w:line="240" w:lineRule="auto"/>
        <w:jc w:val="center"/>
        <w:rPr>
          <w:rFonts w:ascii="Arial" w:eastAsia="Times New Roman" w:hAnsi="Arial" w:cs="Arial"/>
          <w:i/>
          <w:iCs/>
          <w:color w:val="000000"/>
          <w:sz w:val="24"/>
          <w:szCs w:val="24"/>
          <w:lang w:eastAsia="it-IT"/>
        </w:rPr>
      </w:pPr>
      <w:r w:rsidRPr="00594DE1">
        <w:rPr>
          <w:rFonts w:ascii="Arial" w:eastAsia="Times New Roman" w:hAnsi="Arial" w:cs="Arial"/>
          <w:i/>
          <w:iCs/>
          <w:color w:val="000000"/>
          <w:sz w:val="24"/>
          <w:szCs w:val="24"/>
          <w:lang w:eastAsia="it-IT"/>
        </w:rPr>
        <w:t xml:space="preserve">quote% di imprese </w:t>
      </w:r>
      <w:r>
        <w:rPr>
          <w:rFonts w:ascii="Arial" w:eastAsia="Times New Roman" w:hAnsi="Arial" w:cs="Arial"/>
          <w:i/>
          <w:iCs/>
          <w:color w:val="000000"/>
          <w:sz w:val="24"/>
          <w:szCs w:val="24"/>
          <w:lang w:eastAsia="it-IT"/>
        </w:rPr>
        <w:t>che hanno investito</w:t>
      </w:r>
    </w:p>
    <w:p w:rsidR="001F2AFA" w:rsidRPr="00D83D87" w:rsidRDefault="00594DE1" w:rsidP="00594DE1">
      <w:pPr>
        <w:jc w:val="center"/>
        <w:rPr>
          <w:rFonts w:ascii="Arial" w:hAnsi="Arial" w:cs="Arial"/>
          <w:sz w:val="24"/>
          <w:szCs w:val="24"/>
        </w:rPr>
      </w:pPr>
      <w:r>
        <w:rPr>
          <w:noProof/>
          <w:lang w:eastAsia="it-IT"/>
        </w:rPr>
        <w:drawing>
          <wp:inline distT="0" distB="0" distL="0" distR="0">
            <wp:extent cx="4576329" cy="3041073"/>
            <wp:effectExtent l="0" t="0" r="0" b="6985"/>
            <wp:docPr id="1" name="Grafico 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665C5A-82E4-4AE4-A5F3-4B5E8EA34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F2AFA" w:rsidRPr="00D83D87" w:rsidRDefault="001F2AFA" w:rsidP="001F2AFA">
      <w:pPr>
        <w:jc w:val="center"/>
        <w:rPr>
          <w:rFonts w:ascii="Arial" w:hAnsi="Arial" w:cs="Arial"/>
          <w:sz w:val="24"/>
          <w:szCs w:val="24"/>
        </w:rPr>
      </w:pPr>
    </w:p>
    <w:p w:rsidR="00077A2D" w:rsidRDefault="00077A2D" w:rsidP="001F2AFA">
      <w:pPr>
        <w:jc w:val="center"/>
        <w:rPr>
          <w:rFonts w:ascii="Arial" w:hAnsi="Arial" w:cs="Arial"/>
          <w:sz w:val="24"/>
          <w:szCs w:val="24"/>
        </w:rPr>
      </w:pPr>
    </w:p>
    <w:p w:rsidR="00FA0363" w:rsidRDefault="00FA0363" w:rsidP="001F2AFA">
      <w:pPr>
        <w:jc w:val="center"/>
        <w:rPr>
          <w:rFonts w:ascii="Arial" w:hAnsi="Arial" w:cs="Arial"/>
          <w:sz w:val="24"/>
          <w:szCs w:val="24"/>
        </w:rPr>
      </w:pPr>
    </w:p>
    <w:p w:rsidR="00FA0363" w:rsidRDefault="00FA0363" w:rsidP="001F2AFA">
      <w:pPr>
        <w:jc w:val="center"/>
        <w:rPr>
          <w:rFonts w:ascii="Arial" w:hAnsi="Arial" w:cs="Arial"/>
          <w:sz w:val="24"/>
          <w:szCs w:val="24"/>
        </w:rPr>
      </w:pPr>
    </w:p>
    <w:p w:rsidR="00FA0363" w:rsidRDefault="00FA0363" w:rsidP="001F2AFA">
      <w:pPr>
        <w:jc w:val="center"/>
        <w:rPr>
          <w:rFonts w:ascii="Arial" w:hAnsi="Arial" w:cs="Arial"/>
          <w:sz w:val="24"/>
          <w:szCs w:val="24"/>
        </w:rPr>
      </w:pPr>
    </w:p>
    <w:p w:rsidR="00FA0363" w:rsidRDefault="00FA0363" w:rsidP="001F2AFA">
      <w:pPr>
        <w:jc w:val="center"/>
        <w:rPr>
          <w:rFonts w:ascii="Arial" w:hAnsi="Arial" w:cs="Arial"/>
          <w:sz w:val="24"/>
          <w:szCs w:val="24"/>
        </w:rPr>
      </w:pPr>
    </w:p>
    <w:p w:rsidR="005D684C" w:rsidRPr="00D83D87" w:rsidRDefault="00FA0363" w:rsidP="00FA0363">
      <w:pPr>
        <w:jc w:val="both"/>
        <w:rPr>
          <w:rFonts w:ascii="Arial" w:hAnsi="Arial" w:cs="Arial"/>
          <w:sz w:val="24"/>
          <w:szCs w:val="24"/>
        </w:rPr>
      </w:pPr>
      <w:r>
        <w:rPr>
          <w:rFonts w:ascii="Arial" w:hAnsi="Arial" w:cs="Arial"/>
          <w:sz w:val="24"/>
          <w:szCs w:val="24"/>
        </w:rPr>
        <w:t xml:space="preserve">Per il semestre in corso le imprese prevedono un miglioramento della congiuntura: sarà orientata per i due terzi dei casi alla stabilità ma vedrà prevalere la quota delle imprese con attività in crescita rispetto alla quota delle imprese con attività in calo. Ciò sarà più evidente per le imprese manifatturiere. </w:t>
      </w:r>
    </w:p>
    <w:p w:rsidR="005D684C" w:rsidRPr="00594DE1" w:rsidRDefault="005D684C" w:rsidP="005D684C">
      <w:pPr>
        <w:spacing w:after="0" w:line="240" w:lineRule="auto"/>
        <w:jc w:val="center"/>
        <w:rPr>
          <w:rFonts w:ascii="Arial" w:hAnsi="Arial" w:cs="Arial"/>
          <w:sz w:val="24"/>
          <w:szCs w:val="24"/>
        </w:rPr>
      </w:pPr>
      <w:r w:rsidRPr="005D684C">
        <w:rPr>
          <w:rFonts w:ascii="Arial" w:eastAsia="Times New Roman" w:hAnsi="Arial" w:cs="Arial"/>
          <w:color w:val="000000"/>
          <w:sz w:val="24"/>
          <w:szCs w:val="24"/>
          <w:lang w:eastAsia="it-IT"/>
        </w:rPr>
        <w:t xml:space="preserve">previsione per i livelli di attività </w:t>
      </w:r>
    </w:p>
    <w:p w:rsidR="00594DE1" w:rsidRPr="00594DE1" w:rsidRDefault="00594DE1" w:rsidP="00594DE1">
      <w:pPr>
        <w:spacing w:after="0" w:line="240" w:lineRule="auto"/>
        <w:jc w:val="center"/>
        <w:rPr>
          <w:rFonts w:ascii="Arial" w:eastAsia="Times New Roman" w:hAnsi="Arial" w:cs="Arial"/>
          <w:i/>
          <w:iCs/>
          <w:color w:val="000000"/>
          <w:sz w:val="24"/>
          <w:szCs w:val="24"/>
          <w:lang w:eastAsia="it-IT"/>
        </w:rPr>
      </w:pPr>
      <w:r w:rsidRPr="00594DE1">
        <w:rPr>
          <w:rFonts w:ascii="Arial" w:eastAsia="Times New Roman" w:hAnsi="Arial" w:cs="Arial"/>
          <w:i/>
          <w:iCs/>
          <w:color w:val="000000"/>
          <w:sz w:val="24"/>
          <w:szCs w:val="24"/>
          <w:lang w:eastAsia="it-IT"/>
        </w:rPr>
        <w:t>quote% di imprese per situazione</w:t>
      </w:r>
    </w:p>
    <w:p w:rsidR="005D684C" w:rsidRPr="00D83D87" w:rsidRDefault="00077A2D" w:rsidP="001F2AFA">
      <w:pPr>
        <w:jc w:val="center"/>
        <w:rPr>
          <w:rFonts w:ascii="Arial" w:hAnsi="Arial" w:cs="Arial"/>
          <w:sz w:val="24"/>
          <w:szCs w:val="24"/>
        </w:rPr>
      </w:pPr>
      <w:r w:rsidRPr="00D83D87">
        <w:rPr>
          <w:rFonts w:ascii="Arial" w:hAnsi="Arial" w:cs="Arial"/>
          <w:noProof/>
          <w:sz w:val="24"/>
          <w:szCs w:val="24"/>
          <w:lang w:eastAsia="it-IT"/>
        </w:rPr>
        <w:drawing>
          <wp:inline distT="0" distB="0" distL="0" distR="0">
            <wp:extent cx="3735238" cy="2648310"/>
            <wp:effectExtent l="0" t="0" r="0" b="0"/>
            <wp:docPr id="9" name="Grafico 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529C75-4069-4873-98C6-3570F3994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A0363" w:rsidRDefault="00FA0363" w:rsidP="00FA0363">
      <w:pPr>
        <w:spacing w:after="0" w:line="240" w:lineRule="auto"/>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Le previsioni di investimento degli artigiani sono normalmente improntate a grande cautela; così sono previste investimenti nella prima metà del 2020 solo dal 10% delle imprese. E’ importante tuttavia rilevare che settori come altre manifatture, legno mobile e ristorazione prevedono una diffusa attività di investimento.   </w:t>
      </w:r>
    </w:p>
    <w:p w:rsidR="00FA0363" w:rsidRDefault="00FA0363" w:rsidP="005D684C">
      <w:pPr>
        <w:spacing w:after="0" w:line="240" w:lineRule="auto"/>
        <w:jc w:val="center"/>
        <w:rPr>
          <w:rFonts w:ascii="Arial" w:eastAsia="Times New Roman" w:hAnsi="Arial" w:cs="Arial"/>
          <w:color w:val="000000"/>
          <w:sz w:val="24"/>
          <w:szCs w:val="24"/>
          <w:lang w:eastAsia="it-IT"/>
        </w:rPr>
      </w:pPr>
    </w:p>
    <w:p w:rsidR="005D684C" w:rsidRDefault="005D684C" w:rsidP="005D684C">
      <w:pPr>
        <w:spacing w:after="0" w:line="240" w:lineRule="auto"/>
        <w:jc w:val="center"/>
        <w:rPr>
          <w:rFonts w:ascii="Arial" w:eastAsia="Times New Roman" w:hAnsi="Arial" w:cs="Arial"/>
          <w:color w:val="000000"/>
          <w:sz w:val="24"/>
          <w:szCs w:val="24"/>
          <w:lang w:eastAsia="it-IT"/>
        </w:rPr>
      </w:pPr>
      <w:r w:rsidRPr="005D684C">
        <w:rPr>
          <w:rFonts w:ascii="Arial" w:eastAsia="Times New Roman" w:hAnsi="Arial" w:cs="Arial"/>
          <w:color w:val="000000"/>
          <w:sz w:val="24"/>
          <w:szCs w:val="24"/>
          <w:lang w:eastAsia="it-IT"/>
        </w:rPr>
        <w:t>Diffusione prevista degli investimenti</w:t>
      </w:r>
    </w:p>
    <w:p w:rsidR="00594DE1" w:rsidRPr="00594DE1" w:rsidRDefault="00594DE1" w:rsidP="00594DE1">
      <w:pPr>
        <w:spacing w:after="0" w:line="240" w:lineRule="auto"/>
        <w:jc w:val="center"/>
        <w:rPr>
          <w:rFonts w:ascii="Arial" w:eastAsia="Times New Roman" w:hAnsi="Arial" w:cs="Arial"/>
          <w:i/>
          <w:iCs/>
          <w:color w:val="000000"/>
          <w:sz w:val="24"/>
          <w:szCs w:val="24"/>
          <w:lang w:eastAsia="it-IT"/>
        </w:rPr>
      </w:pPr>
      <w:r w:rsidRPr="00594DE1">
        <w:rPr>
          <w:rFonts w:ascii="Arial" w:eastAsia="Times New Roman" w:hAnsi="Arial" w:cs="Arial"/>
          <w:i/>
          <w:iCs/>
          <w:color w:val="000000"/>
          <w:sz w:val="24"/>
          <w:szCs w:val="24"/>
          <w:lang w:eastAsia="it-IT"/>
        </w:rPr>
        <w:t xml:space="preserve">quote% di imprese </w:t>
      </w:r>
    </w:p>
    <w:p w:rsidR="005D684C" w:rsidRDefault="00077A2D" w:rsidP="001F2AFA">
      <w:pPr>
        <w:jc w:val="center"/>
        <w:rPr>
          <w:rFonts w:ascii="Arial" w:hAnsi="Arial" w:cs="Arial"/>
        </w:rPr>
      </w:pPr>
      <w:r w:rsidRPr="008B119C">
        <w:rPr>
          <w:rFonts w:ascii="Arial" w:hAnsi="Arial" w:cs="Arial"/>
          <w:noProof/>
          <w:lang w:eastAsia="it-IT"/>
        </w:rPr>
        <w:drawing>
          <wp:inline distT="0" distB="0" distL="0" distR="0">
            <wp:extent cx="6048375" cy="3189515"/>
            <wp:effectExtent l="0" t="0" r="0" b="0"/>
            <wp:docPr id="10" name="Grafico 1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19FCC1-840D-4173-A6FB-3D9A2B0F0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34EC5" w:rsidRDefault="00334EC5" w:rsidP="001F2AFA">
      <w:pPr>
        <w:jc w:val="center"/>
        <w:rPr>
          <w:rFonts w:ascii="Arial" w:hAnsi="Arial" w:cs="Arial"/>
        </w:rPr>
      </w:pPr>
      <w:r>
        <w:rPr>
          <w:rFonts w:ascii="Arial" w:hAnsi="Arial" w:cs="Arial"/>
          <w:noProof/>
          <w:lang w:eastAsia="it-IT"/>
        </w:rPr>
        <w:drawing>
          <wp:inline distT="0" distB="0" distL="0" distR="0">
            <wp:extent cx="6120130" cy="8664575"/>
            <wp:effectExtent l="19050" t="0" r="0" b="0"/>
            <wp:docPr id="3" name="Immagine 2" descr="unicoinail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oinail jpg.jpg"/>
                    <pic:cNvPicPr/>
                  </pic:nvPicPr>
                  <pic:blipFill>
                    <a:blip r:embed="rId12" cstate="print"/>
                    <a:stretch>
                      <a:fillRect/>
                    </a:stretch>
                  </pic:blipFill>
                  <pic:spPr>
                    <a:xfrm>
                      <a:off x="0" y="0"/>
                      <a:ext cx="6120130" cy="8664575"/>
                    </a:xfrm>
                    <a:prstGeom prst="rect">
                      <a:avLst/>
                    </a:prstGeom>
                  </pic:spPr>
                </pic:pic>
              </a:graphicData>
            </a:graphic>
          </wp:inline>
        </w:drawing>
      </w:r>
    </w:p>
    <w:p w:rsidR="00334EC5" w:rsidRDefault="00334EC5" w:rsidP="001F2AFA">
      <w:pPr>
        <w:jc w:val="center"/>
        <w:rPr>
          <w:rFonts w:ascii="Arial" w:hAnsi="Arial" w:cs="Arial"/>
        </w:rPr>
      </w:pPr>
    </w:p>
    <w:p w:rsidR="00334EC5" w:rsidRDefault="00334EC5" w:rsidP="001F2AFA">
      <w:pPr>
        <w:jc w:val="center"/>
        <w:rPr>
          <w:rFonts w:ascii="Arial" w:hAnsi="Arial" w:cs="Arial"/>
        </w:rPr>
      </w:pPr>
      <w:r>
        <w:rPr>
          <w:noProof/>
          <w:lang w:eastAsia="it-IT"/>
        </w:rPr>
        <w:drawing>
          <wp:inline distT="0" distB="0" distL="0" distR="0">
            <wp:extent cx="6120130" cy="8660948"/>
            <wp:effectExtent l="19050" t="0" r="0" b="0"/>
            <wp:docPr id="4" name="Immagine 1" descr="http://www.uni-co.eu/wp-content/uploads/2020/01/Scheda-Sintesi-UNI.CO-Nuova-Sabatini-MISE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co.eu/wp-content/uploads/2020/01/Scheda-Sintesi-UNI.CO-Nuova-Sabatini-MISE_Page_1.png"/>
                    <pic:cNvPicPr>
                      <a:picLocks noChangeAspect="1" noChangeArrowheads="1"/>
                    </pic:cNvPicPr>
                  </pic:nvPicPr>
                  <pic:blipFill>
                    <a:blip r:embed="rId13" cstate="print"/>
                    <a:srcRect/>
                    <a:stretch>
                      <a:fillRect/>
                    </a:stretch>
                  </pic:blipFill>
                  <pic:spPr bwMode="auto">
                    <a:xfrm>
                      <a:off x="0" y="0"/>
                      <a:ext cx="6120130" cy="8660948"/>
                    </a:xfrm>
                    <a:prstGeom prst="rect">
                      <a:avLst/>
                    </a:prstGeom>
                    <a:noFill/>
                    <a:ln w="9525">
                      <a:noFill/>
                      <a:miter lim="800000"/>
                      <a:headEnd/>
                      <a:tailEnd/>
                    </a:ln>
                  </pic:spPr>
                </pic:pic>
              </a:graphicData>
            </a:graphic>
          </wp:inline>
        </w:drawing>
      </w:r>
    </w:p>
    <w:p w:rsidR="00334EC5" w:rsidRDefault="00334EC5" w:rsidP="001F2AFA">
      <w:pPr>
        <w:jc w:val="center"/>
        <w:rPr>
          <w:rFonts w:ascii="Arial" w:hAnsi="Arial" w:cs="Arial"/>
        </w:rPr>
      </w:pPr>
    </w:p>
    <w:p w:rsidR="00334EC5" w:rsidRDefault="00334EC5" w:rsidP="001F2AFA">
      <w:pPr>
        <w:jc w:val="center"/>
        <w:rPr>
          <w:rFonts w:ascii="Arial" w:hAnsi="Arial" w:cs="Arial"/>
        </w:rPr>
      </w:pPr>
      <w:r>
        <w:rPr>
          <w:noProof/>
          <w:lang w:eastAsia="it-IT"/>
        </w:rPr>
        <w:drawing>
          <wp:inline distT="0" distB="0" distL="0" distR="0">
            <wp:extent cx="6120130" cy="8660948"/>
            <wp:effectExtent l="19050" t="0" r="0" b="0"/>
            <wp:docPr id="5" name="Immagine 4" descr="http://www.uni-co.eu/wp-content/uploads/2019/12/Scheda-Sintesi-UNI.CO-Bando-Innovazione-e-Internazionalizzazione-Sistema-Abitare-e-Moda-Regione-Marche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i-co.eu/wp-content/uploads/2019/12/Scheda-Sintesi-UNI.CO-Bando-Innovazione-e-Internazionalizzazione-Sistema-Abitare-e-Moda-Regione-Marche_Page_1.png"/>
                    <pic:cNvPicPr>
                      <a:picLocks noChangeAspect="1" noChangeArrowheads="1"/>
                    </pic:cNvPicPr>
                  </pic:nvPicPr>
                  <pic:blipFill>
                    <a:blip r:embed="rId14" cstate="print"/>
                    <a:srcRect/>
                    <a:stretch>
                      <a:fillRect/>
                    </a:stretch>
                  </pic:blipFill>
                  <pic:spPr bwMode="auto">
                    <a:xfrm>
                      <a:off x="0" y="0"/>
                      <a:ext cx="6120130" cy="8660948"/>
                    </a:xfrm>
                    <a:prstGeom prst="rect">
                      <a:avLst/>
                    </a:prstGeom>
                    <a:noFill/>
                    <a:ln w="9525">
                      <a:noFill/>
                      <a:miter lim="800000"/>
                      <a:headEnd/>
                      <a:tailEnd/>
                    </a:ln>
                  </pic:spPr>
                </pic:pic>
              </a:graphicData>
            </a:graphic>
          </wp:inline>
        </w:drawing>
      </w:r>
    </w:p>
    <w:p w:rsidR="00334EC5" w:rsidRDefault="00334EC5" w:rsidP="001F2AFA">
      <w:pPr>
        <w:jc w:val="center"/>
        <w:rPr>
          <w:rFonts w:ascii="Arial" w:hAnsi="Arial" w:cs="Arial"/>
        </w:rPr>
      </w:pPr>
    </w:p>
    <w:p w:rsidR="00334EC5" w:rsidRPr="008B119C" w:rsidRDefault="00462AD8" w:rsidP="001F2AFA">
      <w:pPr>
        <w:jc w:val="center"/>
        <w:rPr>
          <w:rFonts w:ascii="Arial" w:hAnsi="Arial" w:cs="Arial"/>
        </w:rPr>
      </w:pPr>
      <w:r>
        <w:rPr>
          <w:noProof/>
          <w:lang w:eastAsia="it-IT"/>
        </w:rPr>
        <w:drawing>
          <wp:inline distT="0" distB="0" distL="0" distR="0">
            <wp:extent cx="6120130" cy="8656409"/>
            <wp:effectExtent l="19050" t="0" r="0" b="0"/>
            <wp:docPr id="6" name="Immagine 7" descr="http://www.uni-co.eu/wp-content/uploads/2020/02/Scheda-Sintesi-UNI.CO-Bando-Ricerca-e-Start-Up-Innovative-Regione-Marche-OK_P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i-co.eu/wp-content/uploads/2020/02/Scheda-Sintesi-UNI.CO-Bando-Ricerca-e-Start-Up-Innovative-Regione-Marche-OK_Page_1.jpeg"/>
                    <pic:cNvPicPr>
                      <a:picLocks noChangeAspect="1" noChangeArrowheads="1"/>
                    </pic:cNvPicPr>
                  </pic:nvPicPr>
                  <pic:blipFill>
                    <a:blip r:embed="rId15" cstate="print"/>
                    <a:srcRect/>
                    <a:stretch>
                      <a:fillRect/>
                    </a:stretch>
                  </pic:blipFill>
                  <pic:spPr bwMode="auto">
                    <a:xfrm>
                      <a:off x="0" y="0"/>
                      <a:ext cx="6120130" cy="8656409"/>
                    </a:xfrm>
                    <a:prstGeom prst="rect">
                      <a:avLst/>
                    </a:prstGeom>
                    <a:noFill/>
                    <a:ln w="9525">
                      <a:noFill/>
                      <a:miter lim="800000"/>
                      <a:headEnd/>
                      <a:tailEnd/>
                    </a:ln>
                  </pic:spPr>
                </pic:pic>
              </a:graphicData>
            </a:graphic>
          </wp:inline>
        </w:drawing>
      </w:r>
    </w:p>
    <w:sectPr w:rsidR="00334EC5" w:rsidRPr="008B119C" w:rsidSect="00DC2429">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compat/>
  <w:rsids>
    <w:rsidRoot w:val="00AE44BA"/>
    <w:rsid w:val="00077A2D"/>
    <w:rsid w:val="00081EAF"/>
    <w:rsid w:val="00103666"/>
    <w:rsid w:val="00151AB9"/>
    <w:rsid w:val="0018666B"/>
    <w:rsid w:val="001F2AFA"/>
    <w:rsid w:val="00202571"/>
    <w:rsid w:val="002A7EB2"/>
    <w:rsid w:val="002B454A"/>
    <w:rsid w:val="002D58B4"/>
    <w:rsid w:val="00334EC5"/>
    <w:rsid w:val="00462AD8"/>
    <w:rsid w:val="00562203"/>
    <w:rsid w:val="00594DE1"/>
    <w:rsid w:val="005D684C"/>
    <w:rsid w:val="00636AA5"/>
    <w:rsid w:val="006734BE"/>
    <w:rsid w:val="006B0746"/>
    <w:rsid w:val="006E7408"/>
    <w:rsid w:val="00724C19"/>
    <w:rsid w:val="007529A1"/>
    <w:rsid w:val="00781B9C"/>
    <w:rsid w:val="007D5789"/>
    <w:rsid w:val="00882D11"/>
    <w:rsid w:val="008A2D5F"/>
    <w:rsid w:val="008B119C"/>
    <w:rsid w:val="009360A4"/>
    <w:rsid w:val="00AE44BA"/>
    <w:rsid w:val="00AF4022"/>
    <w:rsid w:val="00BA7C35"/>
    <w:rsid w:val="00BB6968"/>
    <w:rsid w:val="00C53D6E"/>
    <w:rsid w:val="00C67694"/>
    <w:rsid w:val="00CF7EC2"/>
    <w:rsid w:val="00D0132E"/>
    <w:rsid w:val="00D2320C"/>
    <w:rsid w:val="00D2745E"/>
    <w:rsid w:val="00D83D87"/>
    <w:rsid w:val="00DC2429"/>
    <w:rsid w:val="00DD50C9"/>
    <w:rsid w:val="00E04AA9"/>
    <w:rsid w:val="00E8448C"/>
    <w:rsid w:val="00E97C5C"/>
    <w:rsid w:val="00ED5D9A"/>
    <w:rsid w:val="00EF7EBF"/>
    <w:rsid w:val="00F3419B"/>
    <w:rsid w:val="00F8404F"/>
    <w:rsid w:val="00FA0363"/>
    <w:rsid w:val="00FB153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242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B153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15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3154010">
      <w:bodyDiv w:val="1"/>
      <w:marLeft w:val="0"/>
      <w:marRight w:val="0"/>
      <w:marTop w:val="0"/>
      <w:marBottom w:val="0"/>
      <w:divBdr>
        <w:top w:val="none" w:sz="0" w:space="0" w:color="auto"/>
        <w:left w:val="none" w:sz="0" w:space="0" w:color="auto"/>
        <w:bottom w:val="none" w:sz="0" w:space="0" w:color="auto"/>
        <w:right w:val="none" w:sz="0" w:space="0" w:color="auto"/>
      </w:divBdr>
    </w:div>
    <w:div w:id="1029600734">
      <w:bodyDiv w:val="1"/>
      <w:marLeft w:val="0"/>
      <w:marRight w:val="0"/>
      <w:marTop w:val="0"/>
      <w:marBottom w:val="0"/>
      <w:divBdr>
        <w:top w:val="none" w:sz="0" w:space="0" w:color="auto"/>
        <w:left w:val="none" w:sz="0" w:space="0" w:color="auto"/>
        <w:bottom w:val="none" w:sz="0" w:space="0" w:color="auto"/>
        <w:right w:val="none" w:sz="0" w:space="0" w:color="auto"/>
      </w:divBdr>
    </w:div>
    <w:div w:id="1088427624">
      <w:bodyDiv w:val="1"/>
      <w:marLeft w:val="0"/>
      <w:marRight w:val="0"/>
      <w:marTop w:val="0"/>
      <w:marBottom w:val="0"/>
      <w:divBdr>
        <w:top w:val="none" w:sz="0" w:space="0" w:color="auto"/>
        <w:left w:val="none" w:sz="0" w:space="0" w:color="auto"/>
        <w:bottom w:val="none" w:sz="0" w:space="0" w:color="auto"/>
        <w:right w:val="none" w:sz="0" w:space="0" w:color="auto"/>
      </w:divBdr>
    </w:div>
    <w:div w:id="1415976684">
      <w:bodyDiv w:val="1"/>
      <w:marLeft w:val="0"/>
      <w:marRight w:val="0"/>
      <w:marTop w:val="0"/>
      <w:marBottom w:val="0"/>
      <w:divBdr>
        <w:top w:val="none" w:sz="0" w:space="0" w:color="auto"/>
        <w:left w:val="none" w:sz="0" w:space="0" w:color="auto"/>
        <w:bottom w:val="none" w:sz="0" w:space="0" w:color="auto"/>
        <w:right w:val="none" w:sz="0" w:space="0" w:color="auto"/>
      </w:divBdr>
    </w:div>
    <w:div w:id="1663123415">
      <w:bodyDiv w:val="1"/>
      <w:marLeft w:val="0"/>
      <w:marRight w:val="0"/>
      <w:marTop w:val="0"/>
      <w:marBottom w:val="0"/>
      <w:divBdr>
        <w:top w:val="none" w:sz="0" w:space="0" w:color="auto"/>
        <w:left w:val="none" w:sz="0" w:space="0" w:color="auto"/>
        <w:bottom w:val="none" w:sz="0" w:space="0" w:color="auto"/>
        <w:right w:val="none" w:sz="0" w:space="0" w:color="auto"/>
      </w:divBdr>
    </w:div>
    <w:div w:id="178253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S%20I%20S%20T%20E%20M%20A\A%20R%20C%20H%20I%20V%20I%202%200%202%200\EBAM\AP%20II-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20I%20S%20T%20E%20M%20A\A%20R%20C%20H%20I%20V%20I%202%200%202%200\EBAM\AP%20II-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20I%20S%20T%20E%20M%20A\A%20R%20C%20H%20I%20V%20I%202%200%202%200\EBAM\AP%20II-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S%20I%20S%20T%20E%20M%20A\A%20R%20C%20H%20I%20V%20I%202%200%202%200\EBAM\AP%20II-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S%20I%20S%20T%20E%20M%20A\A%20R%20C%20H%20I%20V%20I%202%200%202%200\EBAM\AP%20II-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S%20I%20S%20T%20E%20M%20A\A%20R%20C%20H%20I%20V%20I%202%200%202%200\EBAM\AP%20II-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8.0515424522293669E-2"/>
          <c:y val="3.4205231388330024E-2"/>
          <c:w val="0.72465542479122202"/>
          <c:h val="0.55615699495487225"/>
        </c:manualLayout>
      </c:layout>
      <c:barChart>
        <c:barDir val="col"/>
        <c:grouping val="clustered"/>
        <c:ser>
          <c:idx val="0"/>
          <c:order val="0"/>
          <c:tx>
            <c:strRef>
              <c:f>pivot!$H$69</c:f>
              <c:strCache>
                <c:ptCount val="1"/>
                <c:pt idx="0">
                  <c:v>in aumento</c:v>
                </c:pt>
              </c:strCache>
            </c:strRef>
          </c:tx>
          <c:spPr>
            <a:solidFill>
              <a:srgbClr val="00B050"/>
            </a:solidFill>
            <a:ln w="25400">
              <a:noFill/>
            </a:ln>
          </c:spPr>
          <c:dLbls>
            <c:numFmt formatCode="#,##0" sourceLinked="0"/>
            <c:spPr>
              <a:noFill/>
              <a:ln w="25400">
                <a:noFill/>
              </a:ln>
            </c:spPr>
            <c:txPr>
              <a:bodyPr wrap="square" lIns="38100" tIns="19050" rIns="38100" bIns="19050" anchor="ctr">
                <a:spAutoFit/>
              </a:bodyPr>
              <a:lstStyle/>
              <a:p>
                <a:pPr>
                  <a:defRPr sz="1075" b="0" i="0" u="none" strike="noStrike" baseline="0">
                    <a:solidFill>
                      <a:srgbClr val="000000"/>
                    </a:solidFill>
                    <a:latin typeface="Arial"/>
                    <a:ea typeface="Arial"/>
                    <a:cs typeface="Arial"/>
                  </a:defRPr>
                </a:pPr>
                <a:endParaRPr lang="it-IT"/>
              </a:p>
            </c:txPr>
            <c:showVal val="1"/>
            <c:extLst xmlns:c16r2="http://schemas.microsoft.com/office/drawing/2015/06/chart">
              <c:ext xmlns:c15="http://schemas.microsoft.com/office/drawing/2012/chart" uri="{CE6537A1-D6FC-4f65-9D91-7224C49458BB}">
                <c15:showLeaderLines val="0"/>
              </c:ext>
            </c:extLst>
          </c:dLbls>
          <c:cat>
            <c:strRef>
              <c:f>pivot!$G$84:$G$86</c:f>
              <c:strCache>
                <c:ptCount val="3"/>
                <c:pt idx="0">
                  <c:v>manifatture</c:v>
                </c:pt>
                <c:pt idx="1">
                  <c:v>servizi</c:v>
                </c:pt>
                <c:pt idx="2">
                  <c:v>totale</c:v>
                </c:pt>
              </c:strCache>
            </c:strRef>
          </c:cat>
          <c:val>
            <c:numRef>
              <c:f>pivot!$H$84:$H$86</c:f>
              <c:numCache>
                <c:formatCode>0.0</c:formatCode>
                <c:ptCount val="3"/>
                <c:pt idx="0">
                  <c:v>32.142857142857139</c:v>
                </c:pt>
                <c:pt idx="1">
                  <c:v>13.513513513513514</c:v>
                </c:pt>
                <c:pt idx="2">
                  <c:v>21.538461538461529</c:v>
                </c:pt>
              </c:numCache>
            </c:numRef>
          </c:val>
          <c:extLst xmlns:c16r2="http://schemas.microsoft.com/office/drawing/2015/06/chart">
            <c:ext xmlns:c16="http://schemas.microsoft.com/office/drawing/2014/chart" uri="{C3380CC4-5D6E-409C-BE32-E72D297353CC}">
              <c16:uniqueId val="{00000000-6932-484B-9538-C3D8848EA5AA}"/>
            </c:ext>
          </c:extLst>
        </c:ser>
        <c:ser>
          <c:idx val="1"/>
          <c:order val="1"/>
          <c:tx>
            <c:strRef>
              <c:f>pivot!$I$69</c:f>
              <c:strCache>
                <c:ptCount val="1"/>
                <c:pt idx="0">
                  <c:v>stabile</c:v>
                </c:pt>
              </c:strCache>
            </c:strRef>
          </c:tx>
          <c:spPr>
            <a:solidFill>
              <a:srgbClr val="C0C0C0"/>
            </a:solidFill>
            <a:ln w="25400">
              <a:noFill/>
            </a:ln>
          </c:spPr>
          <c:dLbls>
            <c:numFmt formatCode="#,##0" sourceLinked="0"/>
            <c:spPr>
              <a:noFill/>
              <a:ln w="25400">
                <a:noFill/>
              </a:ln>
            </c:spPr>
            <c:txPr>
              <a:bodyPr wrap="square" lIns="38100" tIns="19050" rIns="38100" bIns="19050" anchor="ctr">
                <a:spAutoFit/>
              </a:bodyPr>
              <a:lstStyle/>
              <a:p>
                <a:pPr>
                  <a:defRPr sz="1075" b="0" i="0" u="none" strike="noStrike" baseline="0">
                    <a:solidFill>
                      <a:srgbClr val="000000"/>
                    </a:solidFill>
                    <a:latin typeface="Arial"/>
                    <a:ea typeface="Arial"/>
                    <a:cs typeface="Arial"/>
                  </a:defRPr>
                </a:pPr>
                <a:endParaRPr lang="it-IT"/>
              </a:p>
            </c:txPr>
            <c:showVal val="1"/>
            <c:extLst xmlns:c16r2="http://schemas.microsoft.com/office/drawing/2015/06/chart">
              <c:ext xmlns:c15="http://schemas.microsoft.com/office/drawing/2012/chart" uri="{CE6537A1-D6FC-4f65-9D91-7224C49458BB}">
                <c15:showLeaderLines val="0"/>
              </c:ext>
            </c:extLst>
          </c:dLbls>
          <c:cat>
            <c:strRef>
              <c:f>pivot!$G$84:$G$86</c:f>
              <c:strCache>
                <c:ptCount val="3"/>
                <c:pt idx="0">
                  <c:v>manifatture</c:v>
                </c:pt>
                <c:pt idx="1">
                  <c:v>servizi</c:v>
                </c:pt>
                <c:pt idx="2">
                  <c:v>totale</c:v>
                </c:pt>
              </c:strCache>
            </c:strRef>
          </c:cat>
          <c:val>
            <c:numRef>
              <c:f>pivot!$I$84:$I$86</c:f>
              <c:numCache>
                <c:formatCode>0.0</c:formatCode>
                <c:ptCount val="3"/>
                <c:pt idx="0">
                  <c:v>50</c:v>
                </c:pt>
                <c:pt idx="1">
                  <c:v>70.270270270270274</c:v>
                </c:pt>
                <c:pt idx="2">
                  <c:v>61.538461538461526</c:v>
                </c:pt>
              </c:numCache>
            </c:numRef>
          </c:val>
          <c:extLst xmlns:c16r2="http://schemas.microsoft.com/office/drawing/2015/06/chart">
            <c:ext xmlns:c16="http://schemas.microsoft.com/office/drawing/2014/chart" uri="{C3380CC4-5D6E-409C-BE32-E72D297353CC}">
              <c16:uniqueId val="{00000001-6932-484B-9538-C3D8848EA5AA}"/>
            </c:ext>
          </c:extLst>
        </c:ser>
        <c:ser>
          <c:idx val="2"/>
          <c:order val="2"/>
          <c:tx>
            <c:strRef>
              <c:f>pivot!$J$69</c:f>
              <c:strCache>
                <c:ptCount val="1"/>
                <c:pt idx="0">
                  <c:v>in diminuzione</c:v>
                </c:pt>
              </c:strCache>
            </c:strRef>
          </c:tx>
          <c:spPr>
            <a:solidFill>
              <a:srgbClr val="FF6600"/>
            </a:solidFill>
            <a:ln w="25400">
              <a:noFill/>
            </a:ln>
          </c:spPr>
          <c:dLbls>
            <c:numFmt formatCode="#,##0" sourceLinked="0"/>
            <c:spPr>
              <a:noFill/>
              <a:ln w="25400">
                <a:noFill/>
              </a:ln>
            </c:spPr>
            <c:txPr>
              <a:bodyPr wrap="square" lIns="38100" tIns="19050" rIns="38100" bIns="19050" anchor="ctr">
                <a:spAutoFit/>
              </a:bodyPr>
              <a:lstStyle/>
              <a:p>
                <a:pPr>
                  <a:defRPr sz="1075" b="0" i="0" u="none" strike="noStrike" baseline="0">
                    <a:solidFill>
                      <a:srgbClr val="000000"/>
                    </a:solidFill>
                    <a:latin typeface="Arial"/>
                    <a:ea typeface="Arial"/>
                    <a:cs typeface="Arial"/>
                  </a:defRPr>
                </a:pPr>
                <a:endParaRPr lang="it-IT"/>
              </a:p>
            </c:txPr>
            <c:showVal val="1"/>
            <c:extLst xmlns:c16r2="http://schemas.microsoft.com/office/drawing/2015/06/chart">
              <c:ext xmlns:c15="http://schemas.microsoft.com/office/drawing/2012/chart" uri="{CE6537A1-D6FC-4f65-9D91-7224C49458BB}">
                <c15:showLeaderLines val="0"/>
              </c:ext>
            </c:extLst>
          </c:dLbls>
          <c:cat>
            <c:strRef>
              <c:f>pivot!$G$84:$G$86</c:f>
              <c:strCache>
                <c:ptCount val="3"/>
                <c:pt idx="0">
                  <c:v>manifatture</c:v>
                </c:pt>
                <c:pt idx="1">
                  <c:v>servizi</c:v>
                </c:pt>
                <c:pt idx="2">
                  <c:v>totale</c:v>
                </c:pt>
              </c:strCache>
            </c:strRef>
          </c:cat>
          <c:val>
            <c:numRef>
              <c:f>pivot!$J$84:$J$86</c:f>
              <c:numCache>
                <c:formatCode>0.0</c:formatCode>
                <c:ptCount val="3"/>
                <c:pt idx="0">
                  <c:v>17.85714285714284</c:v>
                </c:pt>
                <c:pt idx="1">
                  <c:v>16.216216216216218</c:v>
                </c:pt>
                <c:pt idx="2">
                  <c:v>16.923076923076923</c:v>
                </c:pt>
              </c:numCache>
            </c:numRef>
          </c:val>
          <c:extLst xmlns:c16r2="http://schemas.microsoft.com/office/drawing/2015/06/chart">
            <c:ext xmlns:c16="http://schemas.microsoft.com/office/drawing/2014/chart" uri="{C3380CC4-5D6E-409C-BE32-E72D297353CC}">
              <c16:uniqueId val="{00000002-6932-484B-9538-C3D8848EA5AA}"/>
            </c:ext>
          </c:extLst>
        </c:ser>
        <c:axId val="69171072"/>
        <c:axId val="72065024"/>
      </c:barChart>
      <c:catAx>
        <c:axId val="69171072"/>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it-IT"/>
          </a:p>
        </c:txPr>
        <c:crossAx val="72065024"/>
        <c:crosses val="autoZero"/>
        <c:auto val="1"/>
        <c:lblAlgn val="ctr"/>
        <c:lblOffset val="100"/>
        <c:tickLblSkip val="1"/>
        <c:tickMarkSkip val="1"/>
      </c:catAx>
      <c:valAx>
        <c:axId val="72065024"/>
        <c:scaling>
          <c:orientation val="minMax"/>
          <c:max val="80"/>
          <c:min val="0"/>
        </c:scaling>
        <c:axPos val="l"/>
        <c:numFmt formatCode="0.0"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it-IT"/>
          </a:p>
        </c:txPr>
        <c:crossAx val="69171072"/>
        <c:crosses val="autoZero"/>
        <c:crossBetween val="between"/>
      </c:valAx>
      <c:spPr>
        <a:solidFill>
          <a:srgbClr val="FFFFFF"/>
        </a:solidFill>
        <a:ln w="25400">
          <a:noFill/>
        </a:ln>
      </c:spPr>
    </c:plotArea>
    <c:legend>
      <c:legendPos val="r"/>
      <c:layout>
        <c:manualLayout>
          <c:xMode val="edge"/>
          <c:yMode val="edge"/>
          <c:x val="0.1667396810287155"/>
          <c:y val="0.89087269912998235"/>
          <c:w val="0.66829770681870404"/>
          <c:h val="6.0364164704894092E-2"/>
        </c:manualLayout>
      </c:layout>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it-IT"/>
        </a:p>
      </c:txPr>
    </c:legend>
    <c:plotVisOnly val="1"/>
    <c:dispBlanksAs val="gap"/>
  </c:chart>
  <c:spPr>
    <a:solidFill>
      <a:srgbClr val="FFFFFF"/>
    </a:solidFill>
    <a:ln w="6350">
      <a:noFill/>
    </a:ln>
  </c:spPr>
  <c:txPr>
    <a:bodyPr/>
    <a:lstStyle/>
    <a:p>
      <a:pPr>
        <a:defRPr sz="1025" b="0" i="0" u="none" strike="noStrike" baseline="0">
          <a:solidFill>
            <a:srgbClr val="000000"/>
          </a:solidFill>
          <a:latin typeface="Arial"/>
          <a:ea typeface="Arial"/>
          <a:cs typeface="Arial"/>
        </a:defRPr>
      </a:pPr>
      <a:endParaRPr lang="it-I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10883886589609941"/>
          <c:y val="0.12024827570630404"/>
          <c:w val="0.86526550054579243"/>
          <c:h val="0.5557795412888128"/>
        </c:manualLayout>
      </c:layout>
      <c:barChart>
        <c:barDir val="col"/>
        <c:grouping val="clustered"/>
        <c:ser>
          <c:idx val="0"/>
          <c:order val="0"/>
          <c:tx>
            <c:strRef>
              <c:f>pivot!$H$69</c:f>
              <c:strCache>
                <c:ptCount val="1"/>
                <c:pt idx="0">
                  <c:v>in aumento</c:v>
                </c:pt>
              </c:strCache>
            </c:strRef>
          </c:tx>
          <c:spPr>
            <a:solidFill>
              <a:srgbClr val="00B050"/>
            </a:solidFill>
            <a:ln w="25400">
              <a:noFill/>
            </a:ln>
          </c:spPr>
          <c:dLbls>
            <c:numFmt formatCode="#,##0" sourceLinked="0"/>
            <c:spPr>
              <a:noFill/>
              <a:ln w="25400">
                <a:noFill/>
              </a:ln>
            </c:spPr>
            <c:txPr>
              <a:bodyPr wrap="square" lIns="38100" tIns="19050" rIns="38100" bIns="19050" anchor="ctr">
                <a:spAutoFit/>
              </a:bodyPr>
              <a:lstStyle/>
              <a:p>
                <a:pPr>
                  <a:defRPr sz="900" b="0" i="0" u="none" strike="noStrike" baseline="0">
                    <a:solidFill>
                      <a:srgbClr val="000000"/>
                    </a:solidFill>
                    <a:latin typeface="Arial"/>
                    <a:ea typeface="Arial"/>
                    <a:cs typeface="Arial"/>
                  </a:defRPr>
                </a:pPr>
                <a:endParaRPr lang="it-IT"/>
              </a:p>
            </c:txPr>
            <c:showVal val="1"/>
            <c:extLst xmlns:c16r2="http://schemas.microsoft.com/office/drawing/2015/06/chart">
              <c:ext xmlns:c15="http://schemas.microsoft.com/office/drawing/2012/chart" uri="{CE6537A1-D6FC-4f65-9D91-7224C49458BB}">
                <c15:showLeaderLines val="0"/>
              </c:ext>
            </c:extLst>
          </c:dLbls>
          <c:cat>
            <c:strRef>
              <c:f>pivot!$G$70:$G$76</c:f>
              <c:strCache>
                <c:ptCount val="7"/>
                <c:pt idx="0">
                  <c:v>Alimentari</c:v>
                </c:pt>
                <c:pt idx="1">
                  <c:v>Tessile e Abbigliamento</c:v>
                </c:pt>
                <c:pt idx="2">
                  <c:v>Calzature e Pelletterie</c:v>
                </c:pt>
                <c:pt idx="3">
                  <c:v>Legno e mobile</c:v>
                </c:pt>
                <c:pt idx="4">
                  <c:v>Lavorazioni Metalliche e Prodotti in Metallo</c:v>
                </c:pt>
                <c:pt idx="5">
                  <c:v>Macchine e Attrezzature</c:v>
                </c:pt>
                <c:pt idx="6">
                  <c:v>Altre Manifatture</c:v>
                </c:pt>
              </c:strCache>
            </c:strRef>
          </c:cat>
          <c:val>
            <c:numRef>
              <c:f>pivot!$H$70:$H$76</c:f>
              <c:numCache>
                <c:formatCode>0.0</c:formatCode>
                <c:ptCount val="7"/>
                <c:pt idx="0">
                  <c:v>42.857142857142819</c:v>
                </c:pt>
                <c:pt idx="1">
                  <c:v>100</c:v>
                </c:pt>
                <c:pt idx="2">
                  <c:v>0</c:v>
                </c:pt>
                <c:pt idx="3">
                  <c:v>33.333333333333336</c:v>
                </c:pt>
                <c:pt idx="4">
                  <c:v>50</c:v>
                </c:pt>
                <c:pt idx="5">
                  <c:v>16.666666666666668</c:v>
                </c:pt>
                <c:pt idx="6">
                  <c:v>0</c:v>
                </c:pt>
              </c:numCache>
            </c:numRef>
          </c:val>
          <c:extLst xmlns:c16r2="http://schemas.microsoft.com/office/drawing/2015/06/chart">
            <c:ext xmlns:c16="http://schemas.microsoft.com/office/drawing/2014/chart" uri="{C3380CC4-5D6E-409C-BE32-E72D297353CC}">
              <c16:uniqueId val="{00000000-B027-4B14-9676-CFEE3C30135D}"/>
            </c:ext>
          </c:extLst>
        </c:ser>
        <c:ser>
          <c:idx val="1"/>
          <c:order val="1"/>
          <c:tx>
            <c:strRef>
              <c:f>pivot!$I$69</c:f>
              <c:strCache>
                <c:ptCount val="1"/>
                <c:pt idx="0">
                  <c:v>stabile</c:v>
                </c:pt>
              </c:strCache>
            </c:strRef>
          </c:tx>
          <c:spPr>
            <a:solidFill>
              <a:srgbClr val="C0C0C0"/>
            </a:solidFill>
            <a:ln w="25400">
              <a:noFill/>
            </a:ln>
          </c:spPr>
          <c:dLbls>
            <c:dLbl>
              <c:idx val="0"/>
              <c:layout>
                <c:manualLayout>
                  <c:x val="3.1121017015232282E-2"/>
                  <c:y val="0"/>
                </c:manualLayout>
              </c:layout>
              <c:showVal val="1"/>
              <c:extLst xmlns:c16r2="http://schemas.microsoft.com/office/drawing/2015/06/chart">
                <c:ext xmlns:c16="http://schemas.microsoft.com/office/drawing/2014/chart" uri="{C3380CC4-5D6E-409C-BE32-E72D297353CC}">
                  <c16:uniqueId val="{00000001-B027-4B14-9676-CFEE3C30135D}"/>
                </c:ext>
                <c:ext xmlns:c15="http://schemas.microsoft.com/office/drawing/2012/chart" uri="{CE6537A1-D6FC-4f65-9D91-7224C49458BB}"/>
              </c:extLst>
            </c:dLbl>
            <c:dLbl>
              <c:idx val="1"/>
              <c:layout>
                <c:manualLayout>
                  <c:x val="-2.7294345871141717E-3"/>
                  <c:y val="-9.5761845852323241E-3"/>
                </c:manualLayout>
              </c:layout>
              <c:numFmt formatCode="#,##0" sourceLinked="0"/>
              <c:spPr>
                <a:noFill/>
                <a:ln w="25400">
                  <a:noFill/>
                </a:ln>
              </c:spPr>
              <c:txPr>
                <a:bodyPr/>
                <a:lstStyle/>
                <a:p>
                  <a:pPr>
                    <a:defRPr sz="900" b="0" i="0" u="none" strike="noStrike" baseline="0">
                      <a:solidFill>
                        <a:srgbClr val="000000"/>
                      </a:solidFill>
                      <a:latin typeface="Arial"/>
                      <a:ea typeface="Arial"/>
                      <a:cs typeface="Arial"/>
                    </a:defRPr>
                  </a:pPr>
                  <a:endParaRPr lang="it-IT"/>
                </a:p>
              </c:txPr>
              <c:dLblPos val="outEnd"/>
              <c:showVal val="1"/>
              <c:extLst xmlns:c16r2="http://schemas.microsoft.com/office/drawing/2015/06/chart">
                <c:ext xmlns:c16="http://schemas.microsoft.com/office/drawing/2014/chart" uri="{C3380CC4-5D6E-409C-BE32-E72D297353CC}">
                  <c16:uniqueId val="{00000002-B027-4B14-9676-CFEE3C30135D}"/>
                </c:ext>
                <c:ext xmlns:c15="http://schemas.microsoft.com/office/drawing/2012/chart" uri="{CE6537A1-D6FC-4f65-9D91-7224C49458BB}"/>
              </c:extLst>
            </c:dLbl>
            <c:dLbl>
              <c:idx val="3"/>
              <c:layout>
                <c:manualLayout>
                  <c:x val="-7.6086829415019097E-17"/>
                  <c:y val="-3.5855145213338116E-2"/>
                </c:manualLayout>
              </c:layout>
              <c:showVal val="1"/>
              <c:extLst xmlns:c16r2="http://schemas.microsoft.com/office/drawing/2015/06/chart">
                <c:ext xmlns:c16="http://schemas.microsoft.com/office/drawing/2014/chart" uri="{C3380CC4-5D6E-409C-BE32-E72D297353CC}">
                  <c16:uniqueId val="{00000006-B027-4B14-9676-CFEE3C30135D}"/>
                </c:ext>
                <c:ext xmlns:c15="http://schemas.microsoft.com/office/drawing/2012/chart" uri="{CE6537A1-D6FC-4f65-9D91-7224C49458BB}"/>
              </c:extLst>
            </c:dLbl>
            <c:dLbl>
              <c:idx val="4"/>
              <c:layout>
                <c:manualLayout>
                  <c:x val="1.2450715916165037E-2"/>
                  <c:y val="-1.0756543564001434E-2"/>
                </c:manualLayout>
              </c:layout>
              <c:showVal val="1"/>
              <c:extLst xmlns:c16r2="http://schemas.microsoft.com/office/drawing/2015/06/chart">
                <c:ext xmlns:c16="http://schemas.microsoft.com/office/drawing/2014/chart" uri="{C3380CC4-5D6E-409C-BE32-E72D297353CC}">
                  <c16:uniqueId val="{00000007-B027-4B14-9676-CFEE3C30135D}"/>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900" b="0" i="0" u="none" strike="noStrike" baseline="0">
                    <a:solidFill>
                      <a:srgbClr val="000000"/>
                    </a:solidFill>
                    <a:latin typeface="Arial"/>
                    <a:ea typeface="Arial"/>
                    <a:cs typeface="Arial"/>
                  </a:defRPr>
                </a:pPr>
                <a:endParaRPr lang="it-IT"/>
              </a:p>
            </c:txPr>
            <c:showVal val="1"/>
            <c:extLst xmlns:c16r2="http://schemas.microsoft.com/office/drawing/2015/06/chart">
              <c:ext xmlns:c15="http://schemas.microsoft.com/office/drawing/2012/chart" uri="{CE6537A1-D6FC-4f65-9D91-7224C49458BB}">
                <c15:showLeaderLines val="0"/>
              </c:ext>
            </c:extLst>
          </c:dLbls>
          <c:cat>
            <c:strRef>
              <c:f>pivot!$G$70:$G$76</c:f>
              <c:strCache>
                <c:ptCount val="7"/>
                <c:pt idx="0">
                  <c:v>Alimentari</c:v>
                </c:pt>
                <c:pt idx="1">
                  <c:v>Tessile e Abbigliamento</c:v>
                </c:pt>
                <c:pt idx="2">
                  <c:v>Calzature e Pelletterie</c:v>
                </c:pt>
                <c:pt idx="3">
                  <c:v>Legno e mobile</c:v>
                </c:pt>
                <c:pt idx="4">
                  <c:v>Lavorazioni Metalliche e Prodotti in Metallo</c:v>
                </c:pt>
                <c:pt idx="5">
                  <c:v>Macchine e Attrezzature</c:v>
                </c:pt>
                <c:pt idx="6">
                  <c:v>Altre Manifatture</c:v>
                </c:pt>
              </c:strCache>
            </c:strRef>
          </c:cat>
          <c:val>
            <c:numRef>
              <c:f>pivot!$I$70:$I$76</c:f>
              <c:numCache>
                <c:formatCode>0.0</c:formatCode>
                <c:ptCount val="7"/>
                <c:pt idx="0">
                  <c:v>42.857142857142819</c:v>
                </c:pt>
                <c:pt idx="1">
                  <c:v>0</c:v>
                </c:pt>
                <c:pt idx="2">
                  <c:v>100</c:v>
                </c:pt>
                <c:pt idx="3">
                  <c:v>33.333333333333336</c:v>
                </c:pt>
                <c:pt idx="4">
                  <c:v>50</c:v>
                </c:pt>
                <c:pt idx="5">
                  <c:v>50</c:v>
                </c:pt>
                <c:pt idx="6">
                  <c:v>66.666666666666671</c:v>
                </c:pt>
              </c:numCache>
            </c:numRef>
          </c:val>
          <c:extLst xmlns:c16r2="http://schemas.microsoft.com/office/drawing/2015/06/chart">
            <c:ext xmlns:c16="http://schemas.microsoft.com/office/drawing/2014/chart" uri="{C3380CC4-5D6E-409C-BE32-E72D297353CC}">
              <c16:uniqueId val="{00000003-B027-4B14-9676-CFEE3C30135D}"/>
            </c:ext>
          </c:extLst>
        </c:ser>
        <c:ser>
          <c:idx val="2"/>
          <c:order val="2"/>
          <c:tx>
            <c:strRef>
              <c:f>pivot!$J$69</c:f>
              <c:strCache>
                <c:ptCount val="1"/>
                <c:pt idx="0">
                  <c:v>in diminuzione</c:v>
                </c:pt>
              </c:strCache>
            </c:strRef>
          </c:tx>
          <c:spPr>
            <a:solidFill>
              <a:srgbClr val="FF6600"/>
            </a:solidFill>
            <a:ln w="25400">
              <a:noFill/>
            </a:ln>
          </c:spPr>
          <c:dLbls>
            <c:dLbl>
              <c:idx val="4"/>
              <c:layout>
                <c:manualLayout>
                  <c:x val="7.3495271089727542E-3"/>
                  <c:y val="-2.0443521484431636E-2"/>
                </c:manualLayout>
              </c:layout>
              <c:numFmt formatCode="#,##0" sourceLinked="0"/>
              <c:spPr>
                <a:noFill/>
                <a:ln w="25400">
                  <a:noFill/>
                </a:ln>
              </c:spPr>
              <c:txPr>
                <a:bodyPr/>
                <a:lstStyle/>
                <a:p>
                  <a:pPr>
                    <a:defRPr sz="900" b="0" i="0" u="none" strike="noStrike" baseline="0">
                      <a:solidFill>
                        <a:srgbClr val="000000"/>
                      </a:solidFill>
                      <a:latin typeface="Arial"/>
                      <a:ea typeface="Arial"/>
                      <a:cs typeface="Arial"/>
                    </a:defRPr>
                  </a:pPr>
                  <a:endParaRPr lang="it-IT"/>
                </a:p>
              </c:txPr>
              <c:dLblPos val="outEnd"/>
              <c:showVal val="1"/>
              <c:extLst xmlns:c16r2="http://schemas.microsoft.com/office/drawing/2015/06/chart">
                <c:ext xmlns:c16="http://schemas.microsoft.com/office/drawing/2014/chart" uri="{C3380CC4-5D6E-409C-BE32-E72D297353CC}">
                  <c16:uniqueId val="{00000004-B027-4B14-9676-CFEE3C30135D}"/>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900" b="0" i="0" u="none" strike="noStrike" baseline="0">
                    <a:solidFill>
                      <a:srgbClr val="000000"/>
                    </a:solidFill>
                    <a:latin typeface="Arial"/>
                    <a:ea typeface="Arial"/>
                    <a:cs typeface="Arial"/>
                  </a:defRPr>
                </a:pPr>
                <a:endParaRPr lang="it-IT"/>
              </a:p>
            </c:txPr>
            <c:showVal val="1"/>
            <c:extLst xmlns:c16r2="http://schemas.microsoft.com/office/drawing/2015/06/chart">
              <c:ext xmlns:c15="http://schemas.microsoft.com/office/drawing/2012/chart" uri="{CE6537A1-D6FC-4f65-9D91-7224C49458BB}">
                <c15:showLeaderLines val="0"/>
              </c:ext>
            </c:extLst>
          </c:dLbls>
          <c:cat>
            <c:strRef>
              <c:f>pivot!$G$70:$G$76</c:f>
              <c:strCache>
                <c:ptCount val="7"/>
                <c:pt idx="0">
                  <c:v>Alimentari</c:v>
                </c:pt>
                <c:pt idx="1">
                  <c:v>Tessile e Abbigliamento</c:v>
                </c:pt>
                <c:pt idx="2">
                  <c:v>Calzature e Pelletterie</c:v>
                </c:pt>
                <c:pt idx="3">
                  <c:v>Legno e mobile</c:v>
                </c:pt>
                <c:pt idx="4">
                  <c:v>Lavorazioni Metalliche e Prodotti in Metallo</c:v>
                </c:pt>
                <c:pt idx="5">
                  <c:v>Macchine e Attrezzature</c:v>
                </c:pt>
                <c:pt idx="6">
                  <c:v>Altre Manifatture</c:v>
                </c:pt>
              </c:strCache>
            </c:strRef>
          </c:cat>
          <c:val>
            <c:numRef>
              <c:f>pivot!$J$70:$J$76</c:f>
              <c:numCache>
                <c:formatCode>0.0</c:formatCode>
                <c:ptCount val="7"/>
                <c:pt idx="0">
                  <c:v>14.285714285714286</c:v>
                </c:pt>
                <c:pt idx="1">
                  <c:v>0</c:v>
                </c:pt>
                <c:pt idx="2">
                  <c:v>0</c:v>
                </c:pt>
                <c:pt idx="3">
                  <c:v>33.333333333333336</c:v>
                </c:pt>
                <c:pt idx="4">
                  <c:v>0</c:v>
                </c:pt>
                <c:pt idx="5">
                  <c:v>33.333333333333336</c:v>
                </c:pt>
                <c:pt idx="6">
                  <c:v>33.333333333333336</c:v>
                </c:pt>
              </c:numCache>
            </c:numRef>
          </c:val>
          <c:extLst xmlns:c16r2="http://schemas.microsoft.com/office/drawing/2015/06/chart">
            <c:ext xmlns:c16="http://schemas.microsoft.com/office/drawing/2014/chart" uri="{C3380CC4-5D6E-409C-BE32-E72D297353CC}">
              <c16:uniqueId val="{00000005-B027-4B14-9676-CFEE3C30135D}"/>
            </c:ext>
          </c:extLst>
        </c:ser>
        <c:axId val="94641152"/>
        <c:axId val="94671616"/>
      </c:barChart>
      <c:catAx>
        <c:axId val="94641152"/>
        <c:scaling>
          <c:orientation val="minMax"/>
        </c:scaling>
        <c:axPos val="b"/>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it-IT"/>
          </a:p>
        </c:txPr>
        <c:crossAx val="94671616"/>
        <c:crosses val="autoZero"/>
        <c:auto val="1"/>
        <c:lblAlgn val="ctr"/>
        <c:lblOffset val="100"/>
        <c:tickLblSkip val="1"/>
        <c:tickMarkSkip val="1"/>
      </c:catAx>
      <c:valAx>
        <c:axId val="94671616"/>
        <c:scaling>
          <c:orientation val="minMax"/>
          <c:max val="100"/>
          <c:min val="0"/>
        </c:scaling>
        <c:axPos val="l"/>
        <c:numFmt formatCode="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it-IT"/>
          </a:p>
        </c:txPr>
        <c:crossAx val="94641152"/>
        <c:crosses val="autoZero"/>
        <c:crossBetween val="between"/>
      </c:valAx>
      <c:spPr>
        <a:solidFill>
          <a:srgbClr val="FFFFFF"/>
        </a:solidFill>
        <a:ln w="25400">
          <a:noFill/>
        </a:ln>
      </c:spPr>
    </c:plotArea>
    <c:legend>
      <c:legendPos val="r"/>
      <c:layout>
        <c:manualLayout>
          <c:xMode val="edge"/>
          <c:yMode val="edge"/>
          <c:x val="0.20484489660656074"/>
          <c:y val="0.87188797891109293"/>
          <c:w val="0.64527394946950756"/>
          <c:h val="9.2187768159320088E-2"/>
        </c:manualLayout>
      </c:layout>
      <c:spPr>
        <a:solidFill>
          <a:srgbClr val="FFFFFF"/>
        </a:solidFill>
        <a:ln w="25400">
          <a:noFill/>
        </a:ln>
      </c:spPr>
      <c:txPr>
        <a:bodyPr/>
        <a:lstStyle/>
        <a:p>
          <a:pPr>
            <a:defRPr sz="1000" b="0" i="0" u="none" strike="noStrike" baseline="0">
              <a:solidFill>
                <a:srgbClr val="000000"/>
              </a:solidFill>
              <a:latin typeface="Arial"/>
              <a:ea typeface="Arial"/>
              <a:cs typeface="Arial"/>
            </a:defRPr>
          </a:pPr>
          <a:endParaRPr lang="it-IT"/>
        </a:p>
      </c:txPr>
    </c:legend>
    <c:plotVisOnly val="1"/>
    <c:dispBlanksAs val="gap"/>
  </c:chart>
  <c:spPr>
    <a:solidFill>
      <a:srgbClr val="FFFFFF"/>
    </a:solidFill>
    <a:ln w="6350">
      <a:noFill/>
    </a:ln>
  </c:spPr>
  <c:txPr>
    <a:bodyPr/>
    <a:lstStyle/>
    <a:p>
      <a:pPr>
        <a:defRPr sz="1075" b="0" i="0" u="none" strike="noStrike" baseline="0">
          <a:solidFill>
            <a:srgbClr val="000000"/>
          </a:solidFill>
          <a:latin typeface="Arial"/>
          <a:ea typeface="Arial"/>
          <a:cs typeface="Arial"/>
        </a:defRPr>
      </a:pPr>
      <a:endParaRPr lang="it-I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1869151935945314"/>
          <c:y val="0.19832841913412191"/>
          <c:w val="0.68785610262667052"/>
          <c:h val="0.65834830187116133"/>
        </c:manualLayout>
      </c:layout>
      <c:barChart>
        <c:barDir val="col"/>
        <c:grouping val="clustered"/>
        <c:ser>
          <c:idx val="0"/>
          <c:order val="0"/>
          <c:tx>
            <c:strRef>
              <c:f>pivot!$H$69</c:f>
              <c:strCache>
                <c:ptCount val="1"/>
                <c:pt idx="0">
                  <c:v>in aumento</c:v>
                </c:pt>
              </c:strCache>
            </c:strRef>
          </c:tx>
          <c:spPr>
            <a:solidFill>
              <a:srgbClr val="00B050"/>
            </a:solidFill>
            <a:ln w="25400">
              <a:noFill/>
            </a:ln>
          </c:spPr>
          <c:dLbls>
            <c:numFmt formatCode="#,##0" sourceLinked="0"/>
            <c:spPr>
              <a:noFill/>
              <a:ln w="25400">
                <a:noFill/>
              </a:ln>
            </c:spPr>
            <c:showVal val="1"/>
            <c:extLst xmlns:c16r2="http://schemas.microsoft.com/office/drawing/2015/06/chart">
              <c:ext xmlns:c15="http://schemas.microsoft.com/office/drawing/2012/chart" uri="{CE6537A1-D6FC-4f65-9D91-7224C49458BB}">
                <c15:showLeaderLines val="0"/>
              </c:ext>
            </c:extLst>
          </c:dLbls>
          <c:cat>
            <c:strRef>
              <c:f>pivot!$G$77:$G$81</c:f>
              <c:strCache>
                <c:ptCount val="5"/>
                <c:pt idx="0">
                  <c:v>Ristorazione</c:v>
                </c:pt>
                <c:pt idx="1">
                  <c:v>Trasporti</c:v>
                </c:pt>
                <c:pt idx="2">
                  <c:v>Servizi alla persona</c:v>
                </c:pt>
                <c:pt idx="3">
                  <c:v>Altri servizi</c:v>
                </c:pt>
                <c:pt idx="4">
                  <c:v>Riparazioni veicoli</c:v>
                </c:pt>
              </c:strCache>
            </c:strRef>
          </c:cat>
          <c:val>
            <c:numRef>
              <c:f>pivot!$H$77:$H$81</c:f>
              <c:numCache>
                <c:formatCode>0.0</c:formatCode>
                <c:ptCount val="5"/>
                <c:pt idx="0">
                  <c:v>16.666666666666668</c:v>
                </c:pt>
                <c:pt idx="1">
                  <c:v>20</c:v>
                </c:pt>
                <c:pt idx="2">
                  <c:v>16.666666666666668</c:v>
                </c:pt>
                <c:pt idx="3">
                  <c:v>12.5</c:v>
                </c:pt>
                <c:pt idx="4">
                  <c:v>0</c:v>
                </c:pt>
              </c:numCache>
            </c:numRef>
          </c:val>
          <c:extLst xmlns:c16r2="http://schemas.microsoft.com/office/drawing/2015/06/chart">
            <c:ext xmlns:c16="http://schemas.microsoft.com/office/drawing/2014/chart" uri="{C3380CC4-5D6E-409C-BE32-E72D297353CC}">
              <c16:uniqueId val="{00000000-0094-4105-BF83-2668C011135E}"/>
            </c:ext>
          </c:extLst>
        </c:ser>
        <c:ser>
          <c:idx val="1"/>
          <c:order val="1"/>
          <c:tx>
            <c:strRef>
              <c:f>pivot!$I$69</c:f>
              <c:strCache>
                <c:ptCount val="1"/>
                <c:pt idx="0">
                  <c:v>stabile</c:v>
                </c:pt>
              </c:strCache>
            </c:strRef>
          </c:tx>
          <c:spPr>
            <a:solidFill>
              <a:srgbClr val="C0C0C0"/>
            </a:solidFill>
            <a:ln w="25400">
              <a:noFill/>
            </a:ln>
          </c:spPr>
          <c:dLbls>
            <c:dLbl>
              <c:idx val="1"/>
              <c:layout>
                <c:manualLayout>
                  <c:x val="-5.4132272827812243E-3"/>
                  <c:y val="1.331480941420662E-3"/>
                </c:manualLayout>
              </c:layout>
              <c:dLblPos val="outEnd"/>
              <c:showVal val="1"/>
              <c:extLst xmlns:c16r2="http://schemas.microsoft.com/office/drawing/2015/06/chart">
                <c:ext xmlns:c16="http://schemas.microsoft.com/office/drawing/2014/chart" uri="{C3380CC4-5D6E-409C-BE32-E72D297353CC}">
                  <c16:uniqueId val="{00000001-0094-4105-BF83-2668C011135E}"/>
                </c:ext>
                <c:ext xmlns:c15="http://schemas.microsoft.com/office/drawing/2012/chart" uri="{CE6537A1-D6FC-4f65-9D91-7224C49458BB}"/>
              </c:extLst>
            </c:dLbl>
            <c:numFmt formatCode="#,##0" sourceLinked="0"/>
            <c:spPr>
              <a:noFill/>
              <a:ln w="25400">
                <a:noFill/>
              </a:ln>
            </c:spPr>
            <c:showVal val="1"/>
            <c:extLst xmlns:c16r2="http://schemas.microsoft.com/office/drawing/2015/06/chart">
              <c:ext xmlns:c15="http://schemas.microsoft.com/office/drawing/2012/chart" uri="{CE6537A1-D6FC-4f65-9D91-7224C49458BB}">
                <c15:showLeaderLines val="0"/>
              </c:ext>
            </c:extLst>
          </c:dLbls>
          <c:cat>
            <c:strRef>
              <c:f>pivot!$G$77:$G$81</c:f>
              <c:strCache>
                <c:ptCount val="5"/>
                <c:pt idx="0">
                  <c:v>Ristorazione</c:v>
                </c:pt>
                <c:pt idx="1">
                  <c:v>Trasporti</c:v>
                </c:pt>
                <c:pt idx="2">
                  <c:v>Servizi alla persona</c:v>
                </c:pt>
                <c:pt idx="3">
                  <c:v>Altri servizi</c:v>
                </c:pt>
                <c:pt idx="4">
                  <c:v>Riparazioni veicoli</c:v>
                </c:pt>
              </c:strCache>
            </c:strRef>
          </c:cat>
          <c:val>
            <c:numRef>
              <c:f>pivot!$I$77:$I$81</c:f>
              <c:numCache>
                <c:formatCode>0.0</c:formatCode>
                <c:ptCount val="5"/>
                <c:pt idx="0">
                  <c:v>66.666666666666671</c:v>
                </c:pt>
                <c:pt idx="1">
                  <c:v>60</c:v>
                </c:pt>
                <c:pt idx="2">
                  <c:v>83.333333333333286</c:v>
                </c:pt>
                <c:pt idx="3">
                  <c:v>62.5</c:v>
                </c:pt>
                <c:pt idx="4">
                  <c:v>66.666666666666671</c:v>
                </c:pt>
              </c:numCache>
            </c:numRef>
          </c:val>
          <c:extLst xmlns:c16r2="http://schemas.microsoft.com/office/drawing/2015/06/chart">
            <c:ext xmlns:c16="http://schemas.microsoft.com/office/drawing/2014/chart" uri="{C3380CC4-5D6E-409C-BE32-E72D297353CC}">
              <c16:uniqueId val="{00000002-0094-4105-BF83-2668C011135E}"/>
            </c:ext>
          </c:extLst>
        </c:ser>
        <c:ser>
          <c:idx val="2"/>
          <c:order val="2"/>
          <c:tx>
            <c:strRef>
              <c:f>pivot!$J$69</c:f>
              <c:strCache>
                <c:ptCount val="1"/>
                <c:pt idx="0">
                  <c:v>in diminuzione</c:v>
                </c:pt>
              </c:strCache>
            </c:strRef>
          </c:tx>
          <c:spPr>
            <a:solidFill>
              <a:srgbClr val="FF6600"/>
            </a:solidFill>
            <a:ln w="25400">
              <a:noFill/>
            </a:ln>
          </c:spPr>
          <c:dLbls>
            <c:dLbl>
              <c:idx val="1"/>
              <c:layout>
                <c:manualLayout>
                  <c:x val="2.7460335269207083E-2"/>
                  <c:y val="-2.7419740129525192E-3"/>
                </c:manualLayout>
              </c:layout>
              <c:dLblPos val="outEnd"/>
              <c:showVal val="1"/>
              <c:extLst xmlns:c16r2="http://schemas.microsoft.com/office/drawing/2015/06/chart">
                <c:ext xmlns:c16="http://schemas.microsoft.com/office/drawing/2014/chart" uri="{C3380CC4-5D6E-409C-BE32-E72D297353CC}">
                  <c16:uniqueId val="{00000003-0094-4105-BF83-2668C011135E}"/>
                </c:ext>
                <c:ext xmlns:c15="http://schemas.microsoft.com/office/drawing/2012/chart" uri="{CE6537A1-D6FC-4f65-9D91-7224C49458BB}"/>
              </c:extLst>
            </c:dLbl>
            <c:numFmt formatCode="#,##0" sourceLinked="0"/>
            <c:spPr>
              <a:noFill/>
              <a:ln w="25400">
                <a:noFill/>
              </a:ln>
            </c:spPr>
            <c:showVal val="1"/>
            <c:extLst xmlns:c16r2="http://schemas.microsoft.com/office/drawing/2015/06/chart">
              <c:ext xmlns:c15="http://schemas.microsoft.com/office/drawing/2012/chart" uri="{CE6537A1-D6FC-4f65-9D91-7224C49458BB}">
                <c15:showLeaderLines val="0"/>
              </c:ext>
            </c:extLst>
          </c:dLbls>
          <c:cat>
            <c:strRef>
              <c:f>pivot!$G$77:$G$81</c:f>
              <c:strCache>
                <c:ptCount val="5"/>
                <c:pt idx="0">
                  <c:v>Ristorazione</c:v>
                </c:pt>
                <c:pt idx="1">
                  <c:v>Trasporti</c:v>
                </c:pt>
                <c:pt idx="2">
                  <c:v>Servizi alla persona</c:v>
                </c:pt>
                <c:pt idx="3">
                  <c:v>Altri servizi</c:v>
                </c:pt>
                <c:pt idx="4">
                  <c:v>Riparazioni veicoli</c:v>
                </c:pt>
              </c:strCache>
            </c:strRef>
          </c:cat>
          <c:val>
            <c:numRef>
              <c:f>pivot!$J$77:$J$81</c:f>
              <c:numCache>
                <c:formatCode>0.0</c:formatCode>
                <c:ptCount val="5"/>
                <c:pt idx="0">
                  <c:v>16.666666666666668</c:v>
                </c:pt>
                <c:pt idx="1">
                  <c:v>20</c:v>
                </c:pt>
                <c:pt idx="2">
                  <c:v>0</c:v>
                </c:pt>
                <c:pt idx="3">
                  <c:v>25</c:v>
                </c:pt>
                <c:pt idx="4">
                  <c:v>33.333333333333336</c:v>
                </c:pt>
              </c:numCache>
            </c:numRef>
          </c:val>
          <c:extLst xmlns:c16r2="http://schemas.microsoft.com/office/drawing/2015/06/chart">
            <c:ext xmlns:c16="http://schemas.microsoft.com/office/drawing/2014/chart" uri="{C3380CC4-5D6E-409C-BE32-E72D297353CC}">
              <c16:uniqueId val="{00000004-0094-4105-BF83-2668C011135E}"/>
            </c:ext>
          </c:extLst>
        </c:ser>
        <c:axId val="95179520"/>
        <c:axId val="95338880"/>
      </c:barChart>
      <c:catAx>
        <c:axId val="95179520"/>
        <c:scaling>
          <c:orientation val="minMax"/>
        </c:scaling>
        <c:axPos val="b"/>
        <c:numFmt formatCode="General" sourceLinked="1"/>
        <c:tickLblPos val="nextTo"/>
        <c:spPr>
          <a:ln w="3175">
            <a:solidFill>
              <a:srgbClr val="000000"/>
            </a:solidFill>
            <a:prstDash val="solid"/>
          </a:ln>
        </c:spPr>
        <c:txPr>
          <a:bodyPr rot="0" vert="horz"/>
          <a:lstStyle/>
          <a:p>
            <a:pPr>
              <a:defRPr sz="800"/>
            </a:pPr>
            <a:endParaRPr lang="it-IT"/>
          </a:p>
        </c:txPr>
        <c:crossAx val="95338880"/>
        <c:crosses val="autoZero"/>
        <c:auto val="1"/>
        <c:lblAlgn val="ctr"/>
        <c:lblOffset val="100"/>
        <c:tickLblSkip val="1"/>
        <c:tickMarkSkip val="1"/>
      </c:catAx>
      <c:valAx>
        <c:axId val="95338880"/>
        <c:scaling>
          <c:orientation val="minMax"/>
          <c:max val="90"/>
          <c:min val="0"/>
        </c:scaling>
        <c:axPos val="l"/>
        <c:numFmt formatCode="0.0" sourceLinked="1"/>
        <c:tickLblPos val="nextTo"/>
        <c:spPr>
          <a:ln w="3175">
            <a:solidFill>
              <a:srgbClr val="000000"/>
            </a:solidFill>
            <a:prstDash val="solid"/>
          </a:ln>
        </c:spPr>
        <c:txPr>
          <a:bodyPr rot="0" vert="horz"/>
          <a:lstStyle/>
          <a:p>
            <a:pPr>
              <a:defRPr/>
            </a:pPr>
            <a:endParaRPr lang="it-IT"/>
          </a:p>
        </c:txPr>
        <c:crossAx val="95179520"/>
        <c:crosses val="autoZero"/>
        <c:crossBetween val="between"/>
      </c:valAx>
      <c:spPr>
        <a:solidFill>
          <a:srgbClr val="FFFFFF"/>
        </a:solidFill>
        <a:ln w="25400">
          <a:noFill/>
        </a:ln>
      </c:spPr>
    </c:plotArea>
    <c:legend>
      <c:legendPos val="r"/>
      <c:layout>
        <c:manualLayout>
          <c:xMode val="edge"/>
          <c:yMode val="edge"/>
          <c:x val="0.23794643224455886"/>
          <c:y val="9.9006992848993017E-2"/>
          <c:w val="0.64891622089558565"/>
          <c:h val="5.4981792986063302E-2"/>
        </c:manualLayout>
      </c:layout>
      <c:spPr>
        <a:solidFill>
          <a:srgbClr val="FFFFFF"/>
        </a:solidFill>
        <a:ln w="25400">
          <a:noFill/>
        </a:ln>
      </c:spPr>
    </c:legend>
    <c:plotVisOnly val="1"/>
    <c:dispBlanksAs val="gap"/>
  </c:chart>
  <c:spPr>
    <a:solidFill>
      <a:srgbClr val="FFFFFF"/>
    </a:solidFill>
    <a:ln w="6350">
      <a:noFill/>
    </a:ln>
  </c:spPr>
  <c:txPr>
    <a:bodyPr/>
    <a:lstStyle/>
    <a:p>
      <a:pPr>
        <a:defRPr sz="800" b="0" i="0" u="none" strike="noStrike" baseline="0">
          <a:solidFill>
            <a:srgbClr val="000000"/>
          </a:solidFill>
          <a:latin typeface="Arial"/>
          <a:ea typeface="Arial"/>
          <a:cs typeface="Arial"/>
        </a:defRPr>
      </a:pPr>
      <a:endParaRPr lang="it-I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title>
      <c:spPr>
        <a:noFill/>
        <a:ln w="25400">
          <a:noFill/>
        </a:ln>
      </c:spPr>
    </c:title>
    <c:plotArea>
      <c:layout>
        <c:manualLayout>
          <c:layoutTarget val="inner"/>
          <c:xMode val="edge"/>
          <c:yMode val="edge"/>
          <c:x val="0.32217606132328502"/>
          <c:y val="3.313253012048193E-2"/>
          <c:w val="0.63179980856903972"/>
          <c:h val="0.83734939759036164"/>
        </c:manualLayout>
      </c:layout>
      <c:barChart>
        <c:barDir val="bar"/>
        <c:grouping val="stacked"/>
        <c:ser>
          <c:idx val="1"/>
          <c:order val="0"/>
          <c:tx>
            <c:strRef>
              <c:f>pivot!$C$845</c:f>
              <c:strCache>
                <c:ptCount val="1"/>
              </c:strCache>
            </c:strRef>
          </c:tx>
          <c:spPr>
            <a:solidFill>
              <a:srgbClr val="99CCFF"/>
            </a:solidFill>
            <a:ln w="25400">
              <a:noFill/>
            </a:ln>
          </c:spPr>
          <c:dLbls>
            <c:dLbl>
              <c:idx val="8"/>
              <c:layout>
                <c:manualLayout>
                  <c:x val="1.0713369349010822E-2"/>
                  <c:y val="-1.2942478575720217E-2"/>
                </c:manualLayout>
              </c:layout>
              <c:spPr>
                <a:noFill/>
                <a:ln w="25400">
                  <a:noFill/>
                </a:ln>
              </c:spPr>
              <c:txPr>
                <a:bodyPr/>
                <a:lstStyle/>
                <a:p>
                  <a:pPr>
                    <a:defRPr sz="1000" b="0" i="0" u="none" strike="noStrike" baseline="0">
                      <a:solidFill>
                        <a:srgbClr val="000000"/>
                      </a:solidFill>
                      <a:latin typeface="Arial"/>
                      <a:ea typeface="Arial"/>
                      <a:cs typeface="Arial"/>
                    </a:defRPr>
                  </a:pPr>
                  <a:endParaRPr lang="it-IT"/>
                </a:p>
              </c:txPr>
              <c:dLblPos val="ctr"/>
              <c:showVal val="1"/>
              <c:extLst xmlns:c16r2="http://schemas.microsoft.com/office/drawing/2015/06/chart">
                <c:ext xmlns:c16="http://schemas.microsoft.com/office/drawing/2014/chart" uri="{C3380CC4-5D6E-409C-BE32-E72D297353CC}">
                  <c16:uniqueId val="{00000000-2526-4036-83D6-323457B72A3F}"/>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it-IT"/>
              </a:p>
            </c:txPr>
            <c:showVal val="1"/>
            <c:extLst xmlns:c16r2="http://schemas.microsoft.com/office/drawing/2015/06/chart">
              <c:ext xmlns:c15="http://schemas.microsoft.com/office/drawing/2012/chart" uri="{CE6537A1-D6FC-4f65-9D91-7224C49458BB}">
                <c15:showLeaderLines val="0"/>
              </c:ext>
            </c:extLst>
          </c:dLbls>
          <c:cat>
            <c:strRef>
              <c:f>pivot!$J$879:$J$891</c:f>
              <c:strCache>
                <c:ptCount val="13"/>
                <c:pt idx="0">
                  <c:v>Alimentari</c:v>
                </c:pt>
                <c:pt idx="1">
                  <c:v>Tess. Abb.</c:v>
                </c:pt>
                <c:pt idx="2">
                  <c:v>Calzature Pell.</c:v>
                </c:pt>
                <c:pt idx="3">
                  <c:v>Legno e Mobile</c:v>
                </c:pt>
                <c:pt idx="4">
                  <c:v>Lav.  e Prod. Met. </c:v>
                </c:pt>
                <c:pt idx="5">
                  <c:v>Macch. Attrezz.</c:v>
                </c:pt>
                <c:pt idx="6">
                  <c:v>Altre Manifatture</c:v>
                </c:pt>
                <c:pt idx="7">
                  <c:v>Ristorazione</c:v>
                </c:pt>
                <c:pt idx="8">
                  <c:v>Trasporti</c:v>
                </c:pt>
                <c:pt idx="9">
                  <c:v>Riparaz. veicoli</c:v>
                </c:pt>
                <c:pt idx="10">
                  <c:v>Servizi persona</c:v>
                </c:pt>
                <c:pt idx="11">
                  <c:v>Altri servizi</c:v>
                </c:pt>
                <c:pt idx="12">
                  <c:v>Totale complessivo</c:v>
                </c:pt>
              </c:strCache>
            </c:strRef>
          </c:cat>
          <c:val>
            <c:numRef>
              <c:f>pivot!$H$879:$H$891</c:f>
              <c:numCache>
                <c:formatCode>0</c:formatCode>
                <c:ptCount val="13"/>
                <c:pt idx="0">
                  <c:v>42.857142857142819</c:v>
                </c:pt>
                <c:pt idx="1">
                  <c:v>0</c:v>
                </c:pt>
                <c:pt idx="2">
                  <c:v>0</c:v>
                </c:pt>
                <c:pt idx="3">
                  <c:v>33.333333333333336</c:v>
                </c:pt>
                <c:pt idx="4">
                  <c:v>33.333333333333336</c:v>
                </c:pt>
                <c:pt idx="5">
                  <c:v>33.333333333333336</c:v>
                </c:pt>
                <c:pt idx="6">
                  <c:v>66.666666666666671</c:v>
                </c:pt>
                <c:pt idx="7">
                  <c:v>16.666666666666668</c:v>
                </c:pt>
                <c:pt idx="8">
                  <c:v>20</c:v>
                </c:pt>
                <c:pt idx="9">
                  <c:v>8.3333333333333357</c:v>
                </c:pt>
                <c:pt idx="10">
                  <c:v>12.5</c:v>
                </c:pt>
                <c:pt idx="11">
                  <c:v>0</c:v>
                </c:pt>
                <c:pt idx="12">
                  <c:v>21.538461538461529</c:v>
                </c:pt>
              </c:numCache>
            </c:numRef>
          </c:val>
          <c:extLst xmlns:c16r2="http://schemas.microsoft.com/office/drawing/2015/06/chart">
            <c:ext xmlns:c16="http://schemas.microsoft.com/office/drawing/2014/chart" uri="{C3380CC4-5D6E-409C-BE32-E72D297353CC}">
              <c16:uniqueId val="{00000001-2526-4036-83D6-323457B72A3F}"/>
            </c:ext>
          </c:extLst>
        </c:ser>
        <c:gapWidth val="50"/>
        <c:overlap val="100"/>
        <c:axId val="95496064"/>
        <c:axId val="95497600"/>
      </c:barChart>
      <c:catAx>
        <c:axId val="95496064"/>
        <c:scaling>
          <c:orientation val="maxMin"/>
        </c:scaling>
        <c:axPos val="l"/>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it-IT"/>
          </a:p>
        </c:txPr>
        <c:crossAx val="95497600"/>
        <c:crosses val="autoZero"/>
        <c:auto val="1"/>
        <c:lblAlgn val="ctr"/>
        <c:lblOffset val="100"/>
        <c:tickLblSkip val="1"/>
        <c:tickMarkSkip val="1"/>
      </c:catAx>
      <c:valAx>
        <c:axId val="95497600"/>
        <c:scaling>
          <c:orientation val="minMax"/>
        </c:scaling>
        <c:delete val="1"/>
        <c:axPos val="t"/>
        <c:numFmt formatCode="0" sourceLinked="1"/>
        <c:tickLblPos val="none"/>
        <c:crossAx val="95496064"/>
        <c:crosses val="autoZero"/>
        <c:crossBetween val="between"/>
      </c:valAx>
      <c:spPr>
        <a:solidFill>
          <a:srgbClr val="FFFFFF"/>
        </a:solidFill>
        <a:ln w="25400">
          <a:noFill/>
        </a:ln>
      </c:spPr>
    </c:plotArea>
    <c:plotVisOnly val="1"/>
    <c:dispBlanksAs val="gap"/>
  </c:chart>
  <c:spPr>
    <a:solidFill>
      <a:srgbClr val="FFFFFF"/>
    </a:solidFill>
    <a:ln w="6350">
      <a:noFill/>
    </a:ln>
  </c:spPr>
  <c:txPr>
    <a:bodyPr/>
    <a:lstStyle/>
    <a:p>
      <a:pPr>
        <a:defRPr sz="1025" b="0" i="0" u="none" strike="noStrike" baseline="0">
          <a:solidFill>
            <a:srgbClr val="000000"/>
          </a:solidFill>
          <a:latin typeface="Arial"/>
          <a:ea typeface="Arial"/>
          <a:cs typeface="Arial"/>
        </a:defRPr>
      </a:pPr>
      <a:endParaRPr lang="it-I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14257439528000784"/>
          <c:y val="3.7280781594327392E-2"/>
          <c:w val="0.84950577187671317"/>
          <c:h val="0.72215231362332444"/>
        </c:manualLayout>
      </c:layout>
      <c:barChart>
        <c:barDir val="col"/>
        <c:grouping val="clustered"/>
        <c:ser>
          <c:idx val="0"/>
          <c:order val="0"/>
          <c:tx>
            <c:strRef>
              <c:f>pivot!$H$69</c:f>
              <c:strCache>
                <c:ptCount val="1"/>
                <c:pt idx="0">
                  <c:v>in aumento</c:v>
                </c:pt>
              </c:strCache>
            </c:strRef>
          </c:tx>
          <c:spPr>
            <a:solidFill>
              <a:srgbClr val="99CC00"/>
            </a:solidFill>
            <a:ln w="25400">
              <a:noFill/>
            </a:ln>
          </c:spPr>
          <c:dLbls>
            <c:numFmt formatCode="#,##0" sourceLinked="0"/>
            <c:spPr>
              <a:noFill/>
              <a:ln w="25400">
                <a:noFill/>
              </a:ln>
            </c:spPr>
            <c:showVal val="1"/>
            <c:extLst xmlns:c16r2="http://schemas.microsoft.com/office/drawing/2015/06/chart">
              <c:ext xmlns:c15="http://schemas.microsoft.com/office/drawing/2012/chart" uri="{CE6537A1-D6FC-4f65-9D91-7224C49458BB}">
                <c15:showLeaderLines val="0"/>
              </c:ext>
            </c:extLst>
          </c:dLbls>
          <c:cat>
            <c:strRef>
              <c:f>pivot!$G$960:$G$962</c:f>
              <c:strCache>
                <c:ptCount val="3"/>
                <c:pt idx="0">
                  <c:v>manifatture</c:v>
                </c:pt>
                <c:pt idx="1">
                  <c:v>servizi</c:v>
                </c:pt>
                <c:pt idx="2">
                  <c:v>totale</c:v>
                </c:pt>
              </c:strCache>
            </c:strRef>
          </c:cat>
          <c:val>
            <c:numRef>
              <c:f>pivot!$H$960:$H$962</c:f>
              <c:numCache>
                <c:formatCode>0.0</c:formatCode>
                <c:ptCount val="3"/>
                <c:pt idx="0">
                  <c:v>28.571428571428569</c:v>
                </c:pt>
                <c:pt idx="1">
                  <c:v>24.324324324324326</c:v>
                </c:pt>
                <c:pt idx="2">
                  <c:v>26.153846153846168</c:v>
                </c:pt>
              </c:numCache>
            </c:numRef>
          </c:val>
          <c:extLst xmlns:c16r2="http://schemas.microsoft.com/office/drawing/2015/06/chart">
            <c:ext xmlns:c16="http://schemas.microsoft.com/office/drawing/2014/chart" uri="{C3380CC4-5D6E-409C-BE32-E72D297353CC}">
              <c16:uniqueId val="{00000000-30DA-49CF-B8AF-4443C0DA8D59}"/>
            </c:ext>
          </c:extLst>
        </c:ser>
        <c:ser>
          <c:idx val="1"/>
          <c:order val="1"/>
          <c:tx>
            <c:strRef>
              <c:f>pivot!$I$69</c:f>
              <c:strCache>
                <c:ptCount val="1"/>
                <c:pt idx="0">
                  <c:v>stabile</c:v>
                </c:pt>
              </c:strCache>
            </c:strRef>
          </c:tx>
          <c:spPr>
            <a:solidFill>
              <a:srgbClr val="C0C0C0"/>
            </a:solidFill>
            <a:ln w="25400">
              <a:noFill/>
            </a:ln>
          </c:spPr>
          <c:dLbls>
            <c:dLbl>
              <c:idx val="0"/>
              <c:layout>
                <c:manualLayout>
                  <c:x val="3.5180311588790809E-3"/>
                  <c:y val="-4.7190765938627394E-3"/>
                </c:manualLayout>
              </c:layout>
              <c:dLblPos val="outEnd"/>
              <c:showVal val="1"/>
              <c:extLst xmlns:c16r2="http://schemas.microsoft.com/office/drawing/2015/06/chart">
                <c:ext xmlns:c16="http://schemas.microsoft.com/office/drawing/2014/chart" uri="{C3380CC4-5D6E-409C-BE32-E72D297353CC}">
                  <c16:uniqueId val="{00000001-30DA-49CF-B8AF-4443C0DA8D59}"/>
                </c:ext>
                <c:ext xmlns:c15="http://schemas.microsoft.com/office/drawing/2012/chart" uri="{CE6537A1-D6FC-4f65-9D91-7224C49458BB}"/>
              </c:extLst>
            </c:dLbl>
            <c:dLbl>
              <c:idx val="1"/>
              <c:layout>
                <c:manualLayout>
                  <c:x val="7.4784969268509634E-3"/>
                  <c:y val="-8.4024507190726769E-3"/>
                </c:manualLayout>
              </c:layout>
              <c:dLblPos val="outEnd"/>
              <c:showVal val="1"/>
              <c:extLst xmlns:c16r2="http://schemas.microsoft.com/office/drawing/2015/06/chart">
                <c:ext xmlns:c16="http://schemas.microsoft.com/office/drawing/2014/chart" uri="{C3380CC4-5D6E-409C-BE32-E72D297353CC}">
                  <c16:uniqueId val="{00000002-30DA-49CF-B8AF-4443C0DA8D59}"/>
                </c:ext>
                <c:ext xmlns:c15="http://schemas.microsoft.com/office/drawing/2012/chart" uri="{CE6537A1-D6FC-4f65-9D91-7224C49458BB}"/>
              </c:extLst>
            </c:dLbl>
            <c:dLbl>
              <c:idx val="2"/>
              <c:layout>
                <c:manualLayout>
                  <c:x val="5.4981549966837805E-3"/>
                  <c:y val="-6.0072708173852284E-3"/>
                </c:manualLayout>
              </c:layout>
              <c:dLblPos val="outEnd"/>
              <c:showVal val="1"/>
              <c:extLst xmlns:c16r2="http://schemas.microsoft.com/office/drawing/2015/06/chart">
                <c:ext xmlns:c16="http://schemas.microsoft.com/office/drawing/2014/chart" uri="{C3380CC4-5D6E-409C-BE32-E72D297353CC}">
                  <c16:uniqueId val="{00000003-30DA-49CF-B8AF-4443C0DA8D59}"/>
                </c:ext>
                <c:ext xmlns:c15="http://schemas.microsoft.com/office/drawing/2012/chart" uri="{CE6537A1-D6FC-4f65-9D91-7224C49458BB}"/>
              </c:extLst>
            </c:dLbl>
            <c:numFmt formatCode="#,##0" sourceLinked="0"/>
            <c:spPr>
              <a:noFill/>
              <a:ln w="25400">
                <a:noFill/>
              </a:ln>
            </c:spPr>
            <c:showVal val="1"/>
            <c:extLst xmlns:c16r2="http://schemas.microsoft.com/office/drawing/2015/06/chart">
              <c:ext xmlns:c15="http://schemas.microsoft.com/office/drawing/2012/chart" uri="{CE6537A1-D6FC-4f65-9D91-7224C49458BB}">
                <c15:showLeaderLines val="0"/>
              </c:ext>
            </c:extLst>
          </c:dLbls>
          <c:cat>
            <c:strRef>
              <c:f>pivot!$G$960:$G$962</c:f>
              <c:strCache>
                <c:ptCount val="3"/>
                <c:pt idx="0">
                  <c:v>manifatture</c:v>
                </c:pt>
                <c:pt idx="1">
                  <c:v>servizi</c:v>
                </c:pt>
                <c:pt idx="2">
                  <c:v>totale</c:v>
                </c:pt>
              </c:strCache>
            </c:strRef>
          </c:cat>
          <c:val>
            <c:numRef>
              <c:f>pivot!$I$960:$I$962</c:f>
              <c:numCache>
                <c:formatCode>0.0</c:formatCode>
                <c:ptCount val="3"/>
                <c:pt idx="0">
                  <c:v>67.857142857142819</c:v>
                </c:pt>
                <c:pt idx="1">
                  <c:v>64.86486486486487</c:v>
                </c:pt>
                <c:pt idx="2">
                  <c:v>66.153846153846047</c:v>
                </c:pt>
              </c:numCache>
            </c:numRef>
          </c:val>
          <c:extLst xmlns:c16r2="http://schemas.microsoft.com/office/drawing/2015/06/chart">
            <c:ext xmlns:c16="http://schemas.microsoft.com/office/drawing/2014/chart" uri="{C3380CC4-5D6E-409C-BE32-E72D297353CC}">
              <c16:uniqueId val="{00000004-30DA-49CF-B8AF-4443C0DA8D59}"/>
            </c:ext>
          </c:extLst>
        </c:ser>
        <c:ser>
          <c:idx val="2"/>
          <c:order val="2"/>
          <c:tx>
            <c:strRef>
              <c:f>pivot!$J$69</c:f>
              <c:strCache>
                <c:ptCount val="1"/>
                <c:pt idx="0">
                  <c:v>in diminuzione</c:v>
                </c:pt>
              </c:strCache>
            </c:strRef>
          </c:tx>
          <c:spPr>
            <a:solidFill>
              <a:srgbClr val="FF6600"/>
            </a:solidFill>
            <a:ln w="25400">
              <a:noFill/>
            </a:ln>
          </c:spPr>
          <c:dLbls>
            <c:numFmt formatCode="#,##0" sourceLinked="0"/>
            <c:spPr>
              <a:noFill/>
              <a:ln w="25400">
                <a:noFill/>
              </a:ln>
            </c:spPr>
            <c:showVal val="1"/>
            <c:extLst xmlns:c16r2="http://schemas.microsoft.com/office/drawing/2015/06/chart">
              <c:ext xmlns:c15="http://schemas.microsoft.com/office/drawing/2012/chart" uri="{CE6537A1-D6FC-4f65-9D91-7224C49458BB}">
                <c15:showLeaderLines val="0"/>
              </c:ext>
            </c:extLst>
          </c:dLbls>
          <c:cat>
            <c:strRef>
              <c:f>pivot!$G$960:$G$962</c:f>
              <c:strCache>
                <c:ptCount val="3"/>
                <c:pt idx="0">
                  <c:v>manifatture</c:v>
                </c:pt>
                <c:pt idx="1">
                  <c:v>servizi</c:v>
                </c:pt>
                <c:pt idx="2">
                  <c:v>totale</c:v>
                </c:pt>
              </c:strCache>
            </c:strRef>
          </c:cat>
          <c:val>
            <c:numRef>
              <c:f>pivot!$J$960:$J$962</c:f>
              <c:numCache>
                <c:formatCode>0.0</c:formatCode>
                <c:ptCount val="3"/>
                <c:pt idx="0">
                  <c:v>3.5714285714285707</c:v>
                </c:pt>
                <c:pt idx="1">
                  <c:v>10.810810810810812</c:v>
                </c:pt>
                <c:pt idx="2">
                  <c:v>7.6923076923076916</c:v>
                </c:pt>
              </c:numCache>
            </c:numRef>
          </c:val>
          <c:extLst xmlns:c16r2="http://schemas.microsoft.com/office/drawing/2015/06/chart">
            <c:ext xmlns:c16="http://schemas.microsoft.com/office/drawing/2014/chart" uri="{C3380CC4-5D6E-409C-BE32-E72D297353CC}">
              <c16:uniqueId val="{00000005-30DA-49CF-B8AF-4443C0DA8D59}"/>
            </c:ext>
          </c:extLst>
        </c:ser>
        <c:axId val="95995392"/>
        <c:axId val="96125696"/>
      </c:barChart>
      <c:catAx>
        <c:axId val="95995392"/>
        <c:scaling>
          <c:orientation val="minMax"/>
        </c:scaling>
        <c:axPos val="b"/>
        <c:numFmt formatCode="General" sourceLinked="1"/>
        <c:tickLblPos val="nextTo"/>
        <c:spPr>
          <a:ln w="3175">
            <a:solidFill>
              <a:srgbClr val="000000"/>
            </a:solidFill>
            <a:prstDash val="solid"/>
          </a:ln>
        </c:spPr>
        <c:txPr>
          <a:bodyPr rot="0" vert="horz"/>
          <a:lstStyle/>
          <a:p>
            <a:pPr>
              <a:defRPr/>
            </a:pPr>
            <a:endParaRPr lang="it-IT"/>
          </a:p>
        </c:txPr>
        <c:crossAx val="96125696"/>
        <c:crosses val="autoZero"/>
        <c:auto val="1"/>
        <c:lblAlgn val="ctr"/>
        <c:lblOffset val="100"/>
        <c:tickLblSkip val="1"/>
        <c:tickMarkSkip val="1"/>
      </c:catAx>
      <c:valAx>
        <c:axId val="96125696"/>
        <c:scaling>
          <c:orientation val="minMax"/>
          <c:max val="90"/>
          <c:min val="0"/>
        </c:scaling>
        <c:axPos val="l"/>
        <c:numFmt formatCode="0.0" sourceLinked="1"/>
        <c:tickLblPos val="nextTo"/>
        <c:spPr>
          <a:ln w="3175">
            <a:solidFill>
              <a:srgbClr val="000000"/>
            </a:solidFill>
            <a:prstDash val="solid"/>
          </a:ln>
        </c:spPr>
        <c:txPr>
          <a:bodyPr rot="0" vert="horz"/>
          <a:lstStyle/>
          <a:p>
            <a:pPr>
              <a:defRPr/>
            </a:pPr>
            <a:endParaRPr lang="it-IT"/>
          </a:p>
        </c:txPr>
        <c:crossAx val="95995392"/>
        <c:crosses val="autoZero"/>
        <c:crossBetween val="between"/>
      </c:valAx>
      <c:spPr>
        <a:solidFill>
          <a:srgbClr val="FFFFFF"/>
        </a:solidFill>
        <a:ln w="25400">
          <a:noFill/>
        </a:ln>
      </c:spPr>
    </c:plotArea>
    <c:legend>
      <c:legendPos val="r"/>
      <c:layout>
        <c:manualLayout>
          <c:xMode val="edge"/>
          <c:yMode val="edge"/>
          <c:x val="5.517699093675605E-2"/>
          <c:y val="0.86033895482780354"/>
          <c:w val="0.84755083961981292"/>
          <c:h val="9.2108349420666535E-2"/>
        </c:manualLayout>
      </c:layout>
      <c:spPr>
        <a:solidFill>
          <a:srgbClr val="FFFFFF"/>
        </a:solidFill>
        <a:ln w="25400">
          <a:noFill/>
        </a:ln>
      </c:spPr>
    </c:legend>
    <c:plotVisOnly val="1"/>
    <c:dispBlanksAs val="gap"/>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it-I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42926897432192346"/>
          <c:y val="0.12349397590361462"/>
          <c:w val="0.46829342653300671"/>
          <c:h val="0.81927710843373491"/>
        </c:manualLayout>
      </c:layout>
      <c:barChart>
        <c:barDir val="bar"/>
        <c:grouping val="stacked"/>
        <c:ser>
          <c:idx val="1"/>
          <c:order val="0"/>
          <c:spPr>
            <a:solidFill>
              <a:srgbClr val="FFCC99"/>
            </a:solidFill>
            <a:ln w="25400">
              <a:noFill/>
            </a:ln>
          </c:spPr>
          <c:dLbls>
            <c:dLbl>
              <c:idx val="8"/>
              <c:layout>
                <c:manualLayout>
                  <c:x val="1.0713369349010822E-2"/>
                  <c:y val="-1.2942478575720217E-2"/>
                </c:manualLayout>
              </c:layout>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it-IT"/>
                </a:p>
              </c:txPr>
              <c:dLblPos val="ctr"/>
              <c:showVal val="1"/>
              <c:extLst xmlns:c16r2="http://schemas.microsoft.com/office/drawing/2015/06/chart">
                <c:ext xmlns:c16="http://schemas.microsoft.com/office/drawing/2014/chart" uri="{C3380CC4-5D6E-409C-BE32-E72D297353CC}">
                  <c16:uniqueId val="{00000000-1198-438E-8DEF-0CF10E3034CE}"/>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it-IT"/>
              </a:p>
            </c:txPr>
            <c:showVal val="1"/>
            <c:extLst xmlns:c16r2="http://schemas.microsoft.com/office/drawing/2015/06/chart">
              <c:ext xmlns:c15="http://schemas.microsoft.com/office/drawing/2012/chart" uri="{CE6537A1-D6FC-4f65-9D91-7224C49458BB}">
                <c15:showLeaderLines val="0"/>
              </c:ext>
            </c:extLst>
          </c:dLbls>
          <c:cat>
            <c:strRef>
              <c:f>pivot!$G$1010:$G$1022</c:f>
              <c:strCache>
                <c:ptCount val="13"/>
                <c:pt idx="0">
                  <c:v>Alimentari</c:v>
                </c:pt>
                <c:pt idx="1">
                  <c:v>Tessile e Abbigliamento</c:v>
                </c:pt>
                <c:pt idx="2">
                  <c:v>Calzature e Pelletterie</c:v>
                </c:pt>
                <c:pt idx="3">
                  <c:v>Legno e mobile</c:v>
                </c:pt>
                <c:pt idx="4">
                  <c:v>Lavorazioni Metalliche e Prodotti in Metallo</c:v>
                </c:pt>
                <c:pt idx="5">
                  <c:v>Macchine e Attrezzature</c:v>
                </c:pt>
                <c:pt idx="6">
                  <c:v>Altre Manifatture</c:v>
                </c:pt>
                <c:pt idx="7">
                  <c:v>Ristorazione</c:v>
                </c:pt>
                <c:pt idx="8">
                  <c:v>Trasporti</c:v>
                </c:pt>
                <c:pt idx="9">
                  <c:v>Servizi alla persona</c:v>
                </c:pt>
                <c:pt idx="10">
                  <c:v>Altri servizi</c:v>
                </c:pt>
                <c:pt idx="11">
                  <c:v>Riparazioni veicoli</c:v>
                </c:pt>
                <c:pt idx="12">
                  <c:v>Totale complessivo</c:v>
                </c:pt>
              </c:strCache>
            </c:strRef>
          </c:cat>
          <c:val>
            <c:numRef>
              <c:f>pivot!$H$1010:$H$1022</c:f>
              <c:numCache>
                <c:formatCode>0.0</c:formatCode>
                <c:ptCount val="13"/>
                <c:pt idx="0">
                  <c:v>16.666666666666668</c:v>
                </c:pt>
                <c:pt idx="1">
                  <c:v>0</c:v>
                </c:pt>
                <c:pt idx="2">
                  <c:v>0</c:v>
                </c:pt>
                <c:pt idx="3">
                  <c:v>33.333333333333336</c:v>
                </c:pt>
                <c:pt idx="4">
                  <c:v>0</c:v>
                </c:pt>
                <c:pt idx="5">
                  <c:v>20</c:v>
                </c:pt>
                <c:pt idx="6">
                  <c:v>50</c:v>
                </c:pt>
                <c:pt idx="7">
                  <c:v>33.333333333333336</c:v>
                </c:pt>
                <c:pt idx="8">
                  <c:v>0</c:v>
                </c:pt>
                <c:pt idx="9">
                  <c:v>0</c:v>
                </c:pt>
                <c:pt idx="10">
                  <c:v>0</c:v>
                </c:pt>
                <c:pt idx="11">
                  <c:v>0</c:v>
                </c:pt>
                <c:pt idx="12">
                  <c:v>9.8360655737704921</c:v>
                </c:pt>
              </c:numCache>
            </c:numRef>
          </c:val>
          <c:extLst xmlns:c16r2="http://schemas.microsoft.com/office/drawing/2015/06/chart">
            <c:ext xmlns:c16="http://schemas.microsoft.com/office/drawing/2014/chart" uri="{C3380CC4-5D6E-409C-BE32-E72D297353CC}">
              <c16:uniqueId val="{00000001-1198-438E-8DEF-0CF10E3034CE}"/>
            </c:ext>
          </c:extLst>
        </c:ser>
        <c:gapWidth val="50"/>
        <c:overlap val="100"/>
        <c:axId val="107417600"/>
        <c:axId val="107419136"/>
      </c:barChart>
      <c:catAx>
        <c:axId val="107417600"/>
        <c:scaling>
          <c:orientation val="maxMin"/>
        </c:scaling>
        <c:axPos val="l"/>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it-IT"/>
          </a:p>
        </c:txPr>
        <c:crossAx val="107419136"/>
        <c:crosses val="autoZero"/>
        <c:auto val="1"/>
        <c:lblAlgn val="ctr"/>
        <c:lblOffset val="100"/>
        <c:tickLblSkip val="1"/>
        <c:tickMarkSkip val="1"/>
      </c:catAx>
      <c:valAx>
        <c:axId val="107419136"/>
        <c:scaling>
          <c:orientation val="minMax"/>
        </c:scaling>
        <c:delete val="1"/>
        <c:axPos val="t"/>
        <c:numFmt formatCode="0.0" sourceLinked="1"/>
        <c:tickLblPos val="none"/>
        <c:crossAx val="107417600"/>
        <c:crosses val="autoZero"/>
        <c:crossBetween val="between"/>
      </c:valAx>
      <c:spPr>
        <a:solidFill>
          <a:srgbClr val="FFFFFF"/>
        </a:solidFill>
        <a:ln w="25400">
          <a:noFill/>
        </a:ln>
      </c:spPr>
    </c:plotArea>
    <c:plotVisOnly val="1"/>
    <c:dispBlanksAs val="gap"/>
  </c:chart>
  <c:spPr>
    <a:solidFill>
      <a:srgbClr val="FFFFFF"/>
    </a:solidFill>
    <a:ln w="6350">
      <a:noFill/>
    </a:ln>
  </c:spPr>
  <c:txPr>
    <a:bodyPr/>
    <a:lstStyle/>
    <a:p>
      <a:pPr>
        <a:defRPr sz="1025" b="0" i="0" u="none" strike="noStrike" baseline="0">
          <a:solidFill>
            <a:srgbClr val="000000"/>
          </a:solidFill>
          <a:latin typeface="Arial"/>
          <a:ea typeface="Arial"/>
          <a:cs typeface="Arial"/>
        </a:defRPr>
      </a:pPr>
      <a:endParaRPr lang="it-IT"/>
    </a:p>
  </c:tx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3F58-7F3D-4CDF-9ADE-DF069C896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Pages>
  <Words>1010</Words>
  <Characters>5763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Cna Marche</dc:creator>
  <cp:keywords/>
  <dc:description/>
  <cp:lastModifiedBy>user</cp:lastModifiedBy>
  <cp:revision>32</cp:revision>
  <cp:lastPrinted>2020-02-20T09:36:00Z</cp:lastPrinted>
  <dcterms:created xsi:type="dcterms:W3CDTF">2020-02-17T15:33:00Z</dcterms:created>
  <dcterms:modified xsi:type="dcterms:W3CDTF">2020-02-20T09:33:00Z</dcterms:modified>
</cp:coreProperties>
</file>